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webextensions/taskpanes.xml" ContentType="application/vnd.ms-office.webextensiontaskpanes+xml"/>
  <Override PartName="/word/webextensions/webextension.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462d34a520ac4843" Type="http://schemas.microsoft.com/office/2011/relationships/webextensiontaskpanes" Target="word/webextensions/taskpanes.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B54BA" w14:textId="2E3F4805" w:rsidR="00D31E8C" w:rsidRDefault="4328195F">
      <w:pPr>
        <w:pStyle w:val="Body"/>
        <w:spacing w:line="360" w:lineRule="auto"/>
        <w:jc w:val="both"/>
        <w:rPr>
          <w:rStyle w:val="None"/>
          <w:rFonts w:ascii="Arial" w:eastAsia="Arial" w:hAnsi="Arial" w:cs="Arial"/>
          <w:sz w:val="20"/>
          <w:szCs w:val="20"/>
        </w:rPr>
      </w:pPr>
      <w:bookmarkStart w:id="0" w:name="_Hlk41333904"/>
      <w:r w:rsidRPr="083073EF">
        <w:rPr>
          <w:rStyle w:val="None"/>
          <w:rFonts w:ascii="Arial" w:hAnsi="Arial"/>
          <w:b/>
          <w:bCs/>
          <w:sz w:val="20"/>
          <w:szCs w:val="20"/>
        </w:rPr>
        <w:t xml:space="preserve">Title: </w:t>
      </w:r>
      <w:r w:rsidRPr="083073EF">
        <w:rPr>
          <w:rStyle w:val="None"/>
          <w:rFonts w:ascii="Arial" w:hAnsi="Arial"/>
          <w:sz w:val="20"/>
          <w:szCs w:val="20"/>
        </w:rPr>
        <w:t>Purple Urinary Bag Syndrome in a Patient with Acidic Urine: A Case Report</w:t>
      </w:r>
    </w:p>
    <w:p w14:paraId="2A7E285B" w14:textId="77777777" w:rsidR="00D31E8C" w:rsidRDefault="00D31E8C">
      <w:pPr>
        <w:pStyle w:val="Body"/>
        <w:tabs>
          <w:tab w:val="left" w:pos="1440"/>
        </w:tabs>
        <w:spacing w:line="360" w:lineRule="auto"/>
        <w:jc w:val="both"/>
        <w:rPr>
          <w:rStyle w:val="None"/>
          <w:rFonts w:ascii="Arial" w:eastAsia="Arial" w:hAnsi="Arial" w:cs="Arial"/>
          <w:b/>
          <w:bCs/>
          <w:sz w:val="20"/>
          <w:szCs w:val="20"/>
        </w:rPr>
      </w:pPr>
    </w:p>
    <w:p w14:paraId="44DEFB28" w14:textId="77777777" w:rsidR="00D31E8C" w:rsidRDefault="00CD2D46" w:rsidP="083073EF">
      <w:pPr>
        <w:pStyle w:val="Body"/>
        <w:shd w:val="clear" w:color="auto" w:fill="FFFFFF" w:themeFill="background1"/>
        <w:tabs>
          <w:tab w:val="left" w:pos="1440"/>
        </w:tabs>
        <w:spacing w:line="360" w:lineRule="auto"/>
        <w:jc w:val="both"/>
        <w:rPr>
          <w:rStyle w:val="None"/>
          <w:rFonts w:ascii="Arial" w:eastAsia="Arial" w:hAnsi="Arial" w:cs="Arial"/>
          <w:sz w:val="20"/>
          <w:szCs w:val="20"/>
          <w:shd w:val="clear" w:color="auto" w:fill="C0C0C0"/>
        </w:rPr>
      </w:pPr>
      <w:r>
        <w:rPr>
          <w:rStyle w:val="None"/>
          <w:rFonts w:ascii="Arial" w:hAnsi="Arial"/>
          <w:b/>
          <w:bCs/>
          <w:sz w:val="20"/>
          <w:szCs w:val="20"/>
        </w:rPr>
        <w:t>Article type:</w:t>
      </w:r>
      <w:r>
        <w:rPr>
          <w:rStyle w:val="None"/>
          <w:rFonts w:ascii="Arial" w:hAnsi="Arial"/>
          <w:b/>
          <w:bCs/>
          <w:sz w:val="20"/>
          <w:szCs w:val="20"/>
          <w:shd w:val="clear" w:color="auto" w:fill="FFFFFF"/>
        </w:rPr>
        <w:t xml:space="preserve"> </w:t>
      </w:r>
      <w:r>
        <w:rPr>
          <w:rStyle w:val="None"/>
          <w:rFonts w:ascii="Arial" w:hAnsi="Arial"/>
          <w:sz w:val="20"/>
          <w:szCs w:val="20"/>
          <w:shd w:val="clear" w:color="auto" w:fill="FFFFFF"/>
        </w:rPr>
        <w:t>Case Report</w:t>
      </w:r>
    </w:p>
    <w:p w14:paraId="39560E0A" w14:textId="77777777" w:rsidR="00D31E8C" w:rsidRDefault="00D31E8C">
      <w:pPr>
        <w:pStyle w:val="Body"/>
        <w:tabs>
          <w:tab w:val="left" w:pos="1440"/>
        </w:tabs>
        <w:spacing w:line="360" w:lineRule="auto"/>
        <w:jc w:val="both"/>
        <w:rPr>
          <w:rStyle w:val="None"/>
          <w:rFonts w:ascii="Arial" w:eastAsia="Arial" w:hAnsi="Arial" w:cs="Arial"/>
          <w:b/>
          <w:bCs/>
          <w:sz w:val="20"/>
          <w:szCs w:val="20"/>
        </w:rPr>
      </w:pPr>
    </w:p>
    <w:p w14:paraId="35656DAD" w14:textId="77777777" w:rsidR="00D31E8C" w:rsidRDefault="00CD2D46">
      <w:pPr>
        <w:pStyle w:val="Body"/>
        <w:tabs>
          <w:tab w:val="left" w:pos="1440"/>
        </w:tabs>
        <w:spacing w:line="360" w:lineRule="auto"/>
        <w:jc w:val="both"/>
        <w:rPr>
          <w:rStyle w:val="None"/>
          <w:rFonts w:ascii="Arial" w:eastAsia="Arial" w:hAnsi="Arial" w:cs="Arial"/>
          <w:sz w:val="20"/>
          <w:szCs w:val="20"/>
        </w:rPr>
      </w:pPr>
      <w:r w:rsidRPr="083073EF">
        <w:rPr>
          <w:rStyle w:val="None"/>
          <w:rFonts w:ascii="Arial" w:hAnsi="Arial"/>
          <w:b/>
          <w:bCs/>
          <w:sz w:val="20"/>
          <w:szCs w:val="20"/>
        </w:rPr>
        <w:t>Author names:</w:t>
      </w:r>
    </w:p>
    <w:p w14:paraId="0F2D49BC" w14:textId="77777777" w:rsidR="00D31E8C" w:rsidRDefault="00CD2D46">
      <w:pPr>
        <w:pStyle w:val="ListParagraph"/>
        <w:numPr>
          <w:ilvl w:val="0"/>
          <w:numId w:val="3"/>
        </w:numPr>
        <w:spacing w:line="360" w:lineRule="auto"/>
        <w:jc w:val="both"/>
        <w:rPr>
          <w:rFonts w:ascii="Arial" w:hAnsi="Arial"/>
          <w:sz w:val="20"/>
          <w:szCs w:val="20"/>
          <w:shd w:val="clear" w:color="auto" w:fill="FFFFFF"/>
        </w:rPr>
      </w:pPr>
      <w:r>
        <w:rPr>
          <w:rFonts w:ascii="Arial" w:hAnsi="Arial"/>
          <w:sz w:val="20"/>
          <w:szCs w:val="20"/>
          <w:shd w:val="clear" w:color="auto" w:fill="FFFFFF"/>
        </w:rPr>
        <w:t>Paolo Vigne</w:t>
      </w:r>
    </w:p>
    <w:p w14:paraId="57727A80" w14:textId="77777777" w:rsidR="00D31E8C" w:rsidRDefault="00CD2D46">
      <w:pPr>
        <w:pStyle w:val="ListParagraph"/>
        <w:numPr>
          <w:ilvl w:val="0"/>
          <w:numId w:val="3"/>
        </w:numPr>
        <w:spacing w:line="360" w:lineRule="auto"/>
        <w:jc w:val="both"/>
        <w:rPr>
          <w:rFonts w:ascii="Arial" w:hAnsi="Arial"/>
          <w:sz w:val="20"/>
          <w:szCs w:val="20"/>
        </w:rPr>
      </w:pPr>
      <w:r w:rsidRPr="083073EF">
        <w:rPr>
          <w:rStyle w:val="None"/>
          <w:rFonts w:ascii="Arial" w:hAnsi="Arial"/>
          <w:sz w:val="20"/>
          <w:szCs w:val="20"/>
        </w:rPr>
        <w:t xml:space="preserve">Rodrigo Aparicio </w:t>
      </w:r>
    </w:p>
    <w:p w14:paraId="5DD26C18" w14:textId="77777777" w:rsidR="00D31E8C" w:rsidRDefault="00D31E8C">
      <w:pPr>
        <w:pStyle w:val="Body"/>
        <w:tabs>
          <w:tab w:val="left" w:pos="1440"/>
        </w:tabs>
        <w:spacing w:line="360" w:lineRule="auto"/>
        <w:jc w:val="both"/>
        <w:rPr>
          <w:rStyle w:val="None"/>
          <w:rFonts w:ascii="Arial" w:eastAsia="Arial" w:hAnsi="Arial" w:cs="Arial"/>
          <w:sz w:val="20"/>
          <w:szCs w:val="20"/>
        </w:rPr>
      </w:pPr>
    </w:p>
    <w:p w14:paraId="6C89CEA0" w14:textId="77777777" w:rsidR="00D31E8C" w:rsidRDefault="00CD2D46">
      <w:pPr>
        <w:pStyle w:val="Body"/>
        <w:tabs>
          <w:tab w:val="left" w:pos="1440"/>
        </w:tabs>
        <w:spacing w:line="360" w:lineRule="auto"/>
        <w:jc w:val="both"/>
        <w:rPr>
          <w:rStyle w:val="None"/>
          <w:rFonts w:ascii="Arial" w:eastAsia="Arial" w:hAnsi="Arial" w:cs="Arial"/>
          <w:b/>
          <w:bCs/>
          <w:sz w:val="20"/>
          <w:szCs w:val="20"/>
        </w:rPr>
      </w:pPr>
      <w:r w:rsidRPr="083073EF">
        <w:rPr>
          <w:rStyle w:val="None"/>
          <w:rFonts w:ascii="Arial" w:hAnsi="Arial"/>
          <w:b/>
          <w:bCs/>
          <w:sz w:val="20"/>
          <w:szCs w:val="20"/>
        </w:rPr>
        <w:t>Degrees and Affiliations:</w:t>
      </w:r>
    </w:p>
    <w:p w14:paraId="7DC8BE44" w14:textId="77777777" w:rsidR="00D31E8C" w:rsidRDefault="00CD2D46">
      <w:pPr>
        <w:pStyle w:val="ListParagraph"/>
        <w:numPr>
          <w:ilvl w:val="0"/>
          <w:numId w:val="5"/>
        </w:numPr>
        <w:spacing w:line="360" w:lineRule="auto"/>
        <w:jc w:val="both"/>
        <w:rPr>
          <w:rFonts w:ascii="Arial" w:hAnsi="Arial"/>
          <w:sz w:val="20"/>
          <w:szCs w:val="20"/>
          <w:shd w:val="clear" w:color="auto" w:fill="FFFFFF"/>
        </w:rPr>
      </w:pPr>
      <w:r>
        <w:rPr>
          <w:rFonts w:ascii="Arial" w:hAnsi="Arial"/>
          <w:sz w:val="20"/>
          <w:szCs w:val="20"/>
          <w:shd w:val="clear" w:color="auto" w:fill="FFFFFF"/>
        </w:rPr>
        <w:t>MD. Universidad Dr. José Matías Delgado, La Libertad, El Salvador</w:t>
      </w:r>
    </w:p>
    <w:p w14:paraId="1938375C" w14:textId="77777777" w:rsidR="00D31E8C" w:rsidRDefault="00CD2D46">
      <w:pPr>
        <w:pStyle w:val="ListParagraph"/>
        <w:numPr>
          <w:ilvl w:val="0"/>
          <w:numId w:val="5"/>
        </w:numPr>
        <w:spacing w:line="360" w:lineRule="auto"/>
        <w:jc w:val="both"/>
        <w:rPr>
          <w:rFonts w:ascii="Arial" w:hAnsi="Arial"/>
          <w:sz w:val="20"/>
          <w:szCs w:val="20"/>
          <w:shd w:val="clear" w:color="auto" w:fill="FFFFFF"/>
        </w:rPr>
      </w:pPr>
      <w:r>
        <w:rPr>
          <w:rStyle w:val="None"/>
          <w:rFonts w:ascii="Arial" w:hAnsi="Arial"/>
          <w:sz w:val="20"/>
          <w:szCs w:val="20"/>
          <w:shd w:val="clear" w:color="auto" w:fill="FFFFFF"/>
        </w:rPr>
        <w:t>MD. Universidad Dr. José Matías Delgado, La Libertad, El Salvador</w:t>
      </w:r>
    </w:p>
    <w:p w14:paraId="1CB07341" w14:textId="77777777" w:rsidR="00D31E8C" w:rsidRDefault="00D31E8C">
      <w:pPr>
        <w:pStyle w:val="Body"/>
        <w:tabs>
          <w:tab w:val="left" w:pos="1440"/>
        </w:tabs>
        <w:spacing w:line="360" w:lineRule="auto"/>
        <w:jc w:val="both"/>
        <w:rPr>
          <w:rStyle w:val="None"/>
          <w:rFonts w:ascii="Arial" w:eastAsia="Arial" w:hAnsi="Arial" w:cs="Arial"/>
          <w:b/>
          <w:bCs/>
          <w:sz w:val="20"/>
          <w:szCs w:val="20"/>
        </w:rPr>
      </w:pPr>
    </w:p>
    <w:p w14:paraId="38424C3F" w14:textId="77777777" w:rsidR="00D31E8C" w:rsidRDefault="00CD2D46">
      <w:pPr>
        <w:pStyle w:val="Body"/>
        <w:tabs>
          <w:tab w:val="left" w:pos="1440"/>
        </w:tabs>
        <w:spacing w:line="360" w:lineRule="auto"/>
        <w:jc w:val="both"/>
        <w:rPr>
          <w:rStyle w:val="None"/>
          <w:rFonts w:ascii="Arial" w:eastAsia="Arial" w:hAnsi="Arial" w:cs="Arial"/>
          <w:b/>
          <w:bCs/>
          <w:sz w:val="20"/>
          <w:szCs w:val="20"/>
        </w:rPr>
      </w:pPr>
      <w:r w:rsidRPr="083073EF">
        <w:rPr>
          <w:rStyle w:val="None"/>
          <w:rFonts w:ascii="Arial" w:hAnsi="Arial"/>
          <w:b/>
          <w:bCs/>
          <w:sz w:val="20"/>
          <w:szCs w:val="20"/>
        </w:rPr>
        <w:t>ORCID (Open Researcher and Contributor Identifier):</w:t>
      </w:r>
    </w:p>
    <w:p w14:paraId="6273D93D" w14:textId="77777777" w:rsidR="00D31E8C" w:rsidRDefault="00CD2D46">
      <w:pPr>
        <w:pStyle w:val="ListParagraph"/>
        <w:numPr>
          <w:ilvl w:val="0"/>
          <w:numId w:val="7"/>
        </w:numPr>
        <w:spacing w:line="360" w:lineRule="auto"/>
        <w:jc w:val="both"/>
        <w:rPr>
          <w:rFonts w:ascii="Arial" w:hAnsi="Arial"/>
          <w:sz w:val="20"/>
          <w:szCs w:val="20"/>
          <w:shd w:val="clear" w:color="auto" w:fill="FFFFFF"/>
        </w:rPr>
      </w:pPr>
      <w:r>
        <w:rPr>
          <w:rFonts w:ascii="Arial" w:hAnsi="Arial"/>
          <w:sz w:val="20"/>
          <w:szCs w:val="20"/>
          <w:shd w:val="clear" w:color="auto" w:fill="FFFFFF"/>
        </w:rPr>
        <w:t>https://orcid.org/0000-0002-2433-2566</w:t>
      </w:r>
    </w:p>
    <w:p w14:paraId="1161D686" w14:textId="77777777" w:rsidR="00D31E8C" w:rsidRDefault="00CD2D46">
      <w:pPr>
        <w:pStyle w:val="ListParagraph"/>
        <w:numPr>
          <w:ilvl w:val="0"/>
          <w:numId w:val="7"/>
        </w:numPr>
        <w:spacing w:line="360" w:lineRule="auto"/>
        <w:jc w:val="both"/>
        <w:rPr>
          <w:rFonts w:ascii="Arial" w:hAnsi="Arial"/>
          <w:sz w:val="20"/>
          <w:szCs w:val="20"/>
        </w:rPr>
      </w:pPr>
      <w:r w:rsidRPr="083073EF">
        <w:rPr>
          <w:rStyle w:val="None"/>
          <w:rFonts w:ascii="Arial" w:hAnsi="Arial"/>
          <w:sz w:val="20"/>
          <w:szCs w:val="20"/>
        </w:rPr>
        <w:t>https://orcid.org/0009-0006-1236-3193</w:t>
      </w:r>
    </w:p>
    <w:p w14:paraId="716F9297" w14:textId="77777777" w:rsidR="00D31E8C" w:rsidRDefault="00D31E8C">
      <w:pPr>
        <w:pStyle w:val="Body"/>
        <w:tabs>
          <w:tab w:val="left" w:pos="1440"/>
        </w:tabs>
        <w:spacing w:line="360" w:lineRule="auto"/>
        <w:jc w:val="both"/>
        <w:rPr>
          <w:rStyle w:val="None"/>
          <w:rFonts w:ascii="Arial" w:eastAsia="Arial" w:hAnsi="Arial" w:cs="Arial"/>
          <w:b/>
          <w:bCs/>
          <w:sz w:val="20"/>
          <w:szCs w:val="20"/>
        </w:rPr>
      </w:pPr>
    </w:p>
    <w:p w14:paraId="6057A8BC" w14:textId="1BB7278A" w:rsidR="00D31E8C" w:rsidRDefault="00CD2D46" w:rsidP="301AEF76">
      <w:pPr>
        <w:pStyle w:val="Body"/>
        <w:tabs>
          <w:tab w:val="left" w:pos="1440"/>
        </w:tabs>
        <w:spacing w:line="360" w:lineRule="auto"/>
        <w:jc w:val="both"/>
        <w:rPr>
          <w:rStyle w:val="None"/>
          <w:rFonts w:ascii="Arial" w:hAnsi="Arial"/>
          <w:sz w:val="20"/>
          <w:szCs w:val="20"/>
        </w:rPr>
      </w:pPr>
      <w:r w:rsidRPr="301AEF76">
        <w:rPr>
          <w:rStyle w:val="None"/>
          <w:rFonts w:ascii="Arial" w:hAnsi="Arial"/>
          <w:b/>
          <w:bCs/>
          <w:sz w:val="20"/>
          <w:szCs w:val="20"/>
        </w:rPr>
        <w:t>About the author:</w:t>
      </w:r>
      <w:r w:rsidRPr="301AEF76">
        <w:rPr>
          <w:rStyle w:val="None"/>
          <w:rFonts w:ascii="Arial" w:hAnsi="Arial"/>
          <w:sz w:val="20"/>
          <w:szCs w:val="20"/>
        </w:rPr>
        <w:t xml:space="preserve"> Paolo Vigne, MD, graduated from Universidad Dr. José Matías Delgado, La Libertad, El Salvador, in May 2025 from an eight-year medical program. He is a recipient of the </w:t>
      </w:r>
      <w:r w:rsidRPr="301AEF76">
        <w:rPr>
          <w:rStyle w:val="None"/>
          <w:rFonts w:ascii="Arial" w:hAnsi="Arial"/>
          <w:i/>
          <w:iCs/>
          <w:sz w:val="20"/>
          <w:szCs w:val="20"/>
        </w:rPr>
        <w:t>Diploma de Honor al Mérito</w:t>
      </w:r>
      <w:r w:rsidRPr="301AEF76">
        <w:rPr>
          <w:rStyle w:val="None"/>
          <w:rFonts w:ascii="Arial" w:hAnsi="Arial"/>
          <w:sz w:val="20"/>
          <w:szCs w:val="20"/>
        </w:rPr>
        <w:t xml:space="preserve"> for achieving first </w:t>
      </w:r>
      <w:r w:rsidR="6E208B6E" w:rsidRPr="301AEF76">
        <w:rPr>
          <w:rStyle w:val="None"/>
          <w:rFonts w:ascii="Arial" w:hAnsi="Arial"/>
          <w:sz w:val="20"/>
          <w:szCs w:val="20"/>
        </w:rPr>
        <w:t>place at</w:t>
      </w:r>
      <w:r w:rsidRPr="301AEF76">
        <w:rPr>
          <w:rStyle w:val="None"/>
          <w:rFonts w:ascii="Arial" w:hAnsi="Arial"/>
          <w:sz w:val="20"/>
          <w:szCs w:val="20"/>
        </w:rPr>
        <w:t xml:space="preserve"> the Eleventh Annual Poster Research Competition of the Faculty of Health Sciences “Dr. Luis Edmundo Vásquez.” </w:t>
      </w:r>
    </w:p>
    <w:p w14:paraId="1DF11422" w14:textId="77777777" w:rsidR="00D31E8C" w:rsidRDefault="00D31E8C">
      <w:pPr>
        <w:pStyle w:val="Body"/>
        <w:tabs>
          <w:tab w:val="left" w:pos="1440"/>
        </w:tabs>
        <w:spacing w:line="360" w:lineRule="auto"/>
        <w:jc w:val="both"/>
        <w:rPr>
          <w:rStyle w:val="None"/>
          <w:rFonts w:ascii="Arial" w:eastAsia="Arial" w:hAnsi="Arial" w:cs="Arial"/>
          <w:b/>
          <w:bCs/>
          <w:sz w:val="20"/>
          <w:szCs w:val="20"/>
        </w:rPr>
      </w:pPr>
    </w:p>
    <w:p w14:paraId="449E1C0A" w14:textId="77777777" w:rsidR="00D31E8C" w:rsidRDefault="00CD2D46">
      <w:pPr>
        <w:pStyle w:val="Body"/>
        <w:tabs>
          <w:tab w:val="left" w:pos="1440"/>
        </w:tabs>
        <w:spacing w:line="360" w:lineRule="auto"/>
        <w:jc w:val="both"/>
        <w:rPr>
          <w:rStyle w:val="None"/>
          <w:rFonts w:ascii="Arial" w:eastAsia="Arial" w:hAnsi="Arial" w:cs="Arial"/>
          <w:b/>
          <w:bCs/>
          <w:sz w:val="20"/>
          <w:szCs w:val="20"/>
        </w:rPr>
      </w:pPr>
      <w:r w:rsidRPr="083073EF">
        <w:rPr>
          <w:rStyle w:val="None"/>
          <w:rFonts w:ascii="Arial" w:hAnsi="Arial"/>
          <w:b/>
          <w:bCs/>
          <w:sz w:val="20"/>
          <w:szCs w:val="20"/>
        </w:rPr>
        <w:t xml:space="preserve">Corresponding author email: </w:t>
      </w:r>
      <w:hyperlink r:id="rId7">
        <w:r w:rsidR="00D31E8C" w:rsidRPr="083073EF">
          <w:rPr>
            <w:rStyle w:val="Hyperlink0"/>
          </w:rPr>
          <w:t>paolovigne@hotmail.com</w:t>
        </w:r>
      </w:hyperlink>
      <w:r w:rsidRPr="083073EF">
        <w:rPr>
          <w:rStyle w:val="None"/>
          <w:rFonts w:ascii="Arial" w:hAnsi="Arial"/>
          <w:b/>
          <w:bCs/>
          <w:sz w:val="20"/>
          <w:szCs w:val="20"/>
        </w:rPr>
        <w:t xml:space="preserve"> </w:t>
      </w:r>
    </w:p>
    <w:p w14:paraId="00A6949D" w14:textId="577EA6FB" w:rsidR="00D31E8C" w:rsidRDefault="00CD2D46" w:rsidP="301AEF76">
      <w:pPr>
        <w:pStyle w:val="Body"/>
        <w:tabs>
          <w:tab w:val="left" w:pos="1440"/>
        </w:tabs>
        <w:spacing w:line="360" w:lineRule="auto"/>
        <w:jc w:val="both"/>
        <w:rPr>
          <w:rStyle w:val="None"/>
          <w:rFonts w:ascii="Arial" w:hAnsi="Arial"/>
          <w:sz w:val="20"/>
          <w:szCs w:val="20"/>
        </w:rPr>
      </w:pPr>
      <w:r w:rsidRPr="301AEF76">
        <w:rPr>
          <w:rStyle w:val="None"/>
          <w:rFonts w:ascii="Arial" w:hAnsi="Arial"/>
          <w:b/>
          <w:bCs/>
          <w:sz w:val="20"/>
          <w:szCs w:val="20"/>
        </w:rPr>
        <w:t xml:space="preserve">Acknowledgment: </w:t>
      </w:r>
      <w:r w:rsidR="7BCD6F1F" w:rsidRPr="301AEF76">
        <w:rPr>
          <w:rStyle w:val="None"/>
          <w:rFonts w:ascii="Arial" w:hAnsi="Arial"/>
          <w:b/>
          <w:bCs/>
          <w:sz w:val="20"/>
          <w:szCs w:val="20"/>
        </w:rPr>
        <w:t>None.</w:t>
      </w:r>
    </w:p>
    <w:p w14:paraId="119FEA82" w14:textId="33A99595" w:rsidR="00D31E8C" w:rsidRDefault="00CD2D46" w:rsidP="301AEF76">
      <w:pPr>
        <w:pStyle w:val="Body"/>
        <w:spacing w:line="360" w:lineRule="auto"/>
        <w:jc w:val="both"/>
        <w:rPr>
          <w:rStyle w:val="None"/>
          <w:rFonts w:ascii="Arial" w:hAnsi="Arial"/>
          <w:sz w:val="20"/>
          <w:szCs w:val="20"/>
        </w:rPr>
      </w:pPr>
      <w:r w:rsidRPr="301AEF76">
        <w:rPr>
          <w:rStyle w:val="None"/>
          <w:rFonts w:ascii="Arial" w:hAnsi="Arial"/>
          <w:b/>
          <w:bCs/>
          <w:sz w:val="20"/>
          <w:szCs w:val="20"/>
        </w:rPr>
        <w:t>Financing:</w:t>
      </w:r>
      <w:r w:rsidRPr="301AEF76">
        <w:rPr>
          <w:rStyle w:val="None"/>
          <w:rFonts w:ascii="Arial" w:hAnsi="Arial"/>
          <w:sz w:val="20"/>
          <w:szCs w:val="20"/>
        </w:rPr>
        <w:t xml:space="preserve"> No </w:t>
      </w:r>
      <w:r w:rsidR="1110811B" w:rsidRPr="301AEF76">
        <w:rPr>
          <w:rStyle w:val="None"/>
          <w:rFonts w:ascii="Arial" w:hAnsi="Arial"/>
          <w:sz w:val="20"/>
          <w:szCs w:val="20"/>
        </w:rPr>
        <w:t>funding was received.</w:t>
      </w:r>
    </w:p>
    <w:p w14:paraId="3EF43BCB" w14:textId="43265B25" w:rsidR="00D31E8C" w:rsidRDefault="00CD2D46" w:rsidP="083073EF">
      <w:pPr>
        <w:pStyle w:val="Body"/>
        <w:spacing w:line="360" w:lineRule="auto"/>
        <w:jc w:val="both"/>
        <w:rPr>
          <w:rFonts w:ascii="Noto Sans" w:eastAsia="Noto Sans" w:hAnsi="Noto Sans" w:cs="Noto Sans"/>
          <w:sz w:val="21"/>
          <w:szCs w:val="21"/>
          <w:lang w:val="en-US"/>
        </w:rPr>
      </w:pPr>
      <w:r w:rsidRPr="083073EF">
        <w:rPr>
          <w:rStyle w:val="None"/>
          <w:rFonts w:ascii="Arial" w:hAnsi="Arial"/>
          <w:b/>
          <w:bCs/>
          <w:sz w:val="20"/>
          <w:szCs w:val="20"/>
        </w:rPr>
        <w:t>Conflict of interest statement by authors:</w:t>
      </w:r>
      <w:r w:rsidRPr="083073EF">
        <w:rPr>
          <w:rStyle w:val="None"/>
          <w:rFonts w:ascii="Arial" w:hAnsi="Arial"/>
          <w:sz w:val="20"/>
          <w:szCs w:val="20"/>
        </w:rPr>
        <w:t xml:space="preserve"> No conflict of interest to declare</w:t>
      </w:r>
    </w:p>
    <w:p w14:paraId="3AA6B36D" w14:textId="77777777" w:rsidR="00D31E8C" w:rsidRDefault="00D31E8C">
      <w:pPr>
        <w:pStyle w:val="Body"/>
        <w:spacing w:line="360" w:lineRule="auto"/>
        <w:jc w:val="both"/>
        <w:rPr>
          <w:rStyle w:val="None"/>
          <w:rFonts w:ascii="Arial" w:eastAsia="Arial" w:hAnsi="Arial" w:cs="Arial"/>
          <w:b/>
          <w:bCs/>
          <w:sz w:val="20"/>
          <w:szCs w:val="20"/>
        </w:rPr>
      </w:pPr>
    </w:p>
    <w:p w14:paraId="283E2235" w14:textId="77777777" w:rsidR="00D31E8C" w:rsidRDefault="00CD2D46">
      <w:pPr>
        <w:pStyle w:val="Body"/>
        <w:spacing w:line="360" w:lineRule="auto"/>
        <w:jc w:val="both"/>
        <w:rPr>
          <w:rStyle w:val="None"/>
          <w:rFonts w:ascii="Arial" w:eastAsia="Arial" w:hAnsi="Arial" w:cs="Arial"/>
          <w:b/>
          <w:bCs/>
          <w:sz w:val="20"/>
          <w:szCs w:val="20"/>
        </w:rPr>
      </w:pPr>
      <w:r w:rsidRPr="083073EF">
        <w:rPr>
          <w:rStyle w:val="None"/>
          <w:rFonts w:ascii="Arial" w:hAnsi="Arial"/>
          <w:b/>
          <w:bCs/>
          <w:sz w:val="20"/>
          <w:szCs w:val="20"/>
        </w:rPr>
        <w:t xml:space="preserve">Authors Contribution Statement: </w:t>
      </w:r>
    </w:p>
    <w:p w14:paraId="72B31B46" w14:textId="77777777" w:rsidR="00D31E8C" w:rsidRDefault="00CD2D46">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360" w:lineRule="auto"/>
        <w:jc w:val="both"/>
        <w:rPr>
          <w:rFonts w:ascii="Arial" w:eastAsia="Arial" w:hAnsi="Arial" w:cs="Arial"/>
          <w:sz w:val="20"/>
          <w:szCs w:val="20"/>
        </w:rPr>
      </w:pPr>
      <w:r w:rsidRPr="083073EF">
        <w:rPr>
          <w:rFonts w:ascii="Arial" w:hAnsi="Arial"/>
          <w:sz w:val="20"/>
          <w:szCs w:val="20"/>
        </w:rPr>
        <w:t>Conceptualization: PV.  Data Curation: RA.  Investigation: RA.  Methodology: PV.  Project Administration: PV.   Writing - Original Draft: PV, RA.   Writing - Review Editing: PV, RA.  </w:t>
      </w:r>
    </w:p>
    <w:p w14:paraId="5C2A4C55" w14:textId="77777777" w:rsidR="00D31E8C" w:rsidRDefault="00D31E8C">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jc w:val="both"/>
        <w:rPr>
          <w:rStyle w:val="None"/>
          <w:rFonts w:ascii="Arial" w:eastAsia="Arial" w:hAnsi="Arial" w:cs="Arial"/>
          <w:b/>
          <w:bCs/>
          <w:sz w:val="20"/>
          <w:szCs w:val="20"/>
        </w:rPr>
      </w:pPr>
    </w:p>
    <w:p w14:paraId="5DBF351D" w14:textId="77777777" w:rsidR="00D31E8C" w:rsidRDefault="00CD2D46">
      <w:pPr>
        <w:pStyle w:val="Body"/>
        <w:spacing w:line="360" w:lineRule="auto"/>
        <w:jc w:val="both"/>
        <w:rPr>
          <w:rStyle w:val="None"/>
          <w:rFonts w:ascii="Arial" w:eastAsia="Arial" w:hAnsi="Arial" w:cs="Arial"/>
          <w:sz w:val="20"/>
          <w:szCs w:val="20"/>
        </w:rPr>
      </w:pPr>
      <w:r w:rsidRPr="083073EF">
        <w:rPr>
          <w:rStyle w:val="None"/>
          <w:rFonts w:ascii="Arial" w:hAnsi="Arial"/>
          <w:b/>
          <w:bCs/>
          <w:sz w:val="20"/>
          <w:szCs w:val="20"/>
        </w:rPr>
        <w:t>Highlights</w:t>
      </w:r>
    </w:p>
    <w:p w14:paraId="0B658A61" w14:textId="7F24A391" w:rsidR="00D31E8C" w:rsidRDefault="03381B3E" w:rsidP="61E749BD">
      <w:pPr>
        <w:pStyle w:val="ListParagraph"/>
        <w:numPr>
          <w:ilvl w:val="0"/>
          <w:numId w:val="9"/>
        </w:numPr>
        <w:spacing w:line="360" w:lineRule="auto"/>
        <w:jc w:val="both"/>
        <w:rPr>
          <w:rFonts w:ascii="Arial" w:eastAsia="Arial" w:hAnsi="Arial" w:cs="Arial"/>
          <w:sz w:val="20"/>
          <w:szCs w:val="20"/>
        </w:rPr>
      </w:pPr>
      <w:r w:rsidRPr="083073EF">
        <w:rPr>
          <w:rFonts w:ascii="Arial" w:eastAsia="Arial" w:hAnsi="Arial" w:cs="Arial"/>
          <w:color w:val="000000" w:themeColor="text1"/>
          <w:sz w:val="20"/>
          <w:szCs w:val="20"/>
        </w:rPr>
        <w:t>Purple urine bag syndrome (PUBS) can manifest in an acidic environment (pH 6.0)</w:t>
      </w:r>
      <w:r w:rsidR="03D15C0F" w:rsidRPr="083073EF">
        <w:rPr>
          <w:rFonts w:ascii="Arial" w:eastAsia="Arial" w:hAnsi="Arial" w:cs="Arial"/>
          <w:color w:val="000000" w:themeColor="text1"/>
          <w:sz w:val="20"/>
          <w:szCs w:val="20"/>
        </w:rPr>
        <w:t>.</w:t>
      </w:r>
      <w:r w:rsidR="7E60202F" w:rsidRPr="083073EF">
        <w:rPr>
          <w:rStyle w:val="None"/>
          <w:rFonts w:ascii="Arial" w:eastAsia="Arial" w:hAnsi="Arial" w:cs="Arial"/>
          <w:sz w:val="20"/>
          <w:szCs w:val="20"/>
        </w:rPr>
        <w:t xml:space="preserve"> </w:t>
      </w:r>
    </w:p>
    <w:p w14:paraId="115840B1" w14:textId="431ABD90" w:rsidR="5D0FDB5D" w:rsidRDefault="2D407FCB" w:rsidP="61E749BD">
      <w:pPr>
        <w:pStyle w:val="ListParagraph"/>
        <w:numPr>
          <w:ilvl w:val="0"/>
          <w:numId w:val="9"/>
        </w:numPr>
        <w:spacing w:line="360" w:lineRule="auto"/>
        <w:jc w:val="both"/>
        <w:rPr>
          <w:rFonts w:ascii="Arial" w:eastAsia="Arial" w:hAnsi="Arial" w:cs="Arial"/>
          <w:color w:val="000000" w:themeColor="text1"/>
          <w:sz w:val="20"/>
          <w:szCs w:val="20"/>
        </w:rPr>
      </w:pPr>
      <w:r w:rsidRPr="301AEF76">
        <w:rPr>
          <w:rFonts w:ascii="Arial" w:eastAsia="Arial" w:hAnsi="Arial" w:cs="Arial"/>
          <w:color w:val="000000" w:themeColor="text1"/>
          <w:sz w:val="20"/>
          <w:szCs w:val="20"/>
        </w:rPr>
        <w:t xml:space="preserve">The absence of </w:t>
      </w:r>
      <w:r w:rsidR="52D09FE4" w:rsidRPr="301AEF76">
        <w:rPr>
          <w:rFonts w:ascii="Arial" w:eastAsia="Arial" w:hAnsi="Arial" w:cs="Arial"/>
          <w:color w:val="000000" w:themeColor="text1"/>
          <w:sz w:val="20"/>
          <w:szCs w:val="20"/>
        </w:rPr>
        <w:t xml:space="preserve">several </w:t>
      </w:r>
      <w:r w:rsidRPr="301AEF76">
        <w:rPr>
          <w:rFonts w:ascii="Arial" w:eastAsia="Arial" w:hAnsi="Arial" w:cs="Arial"/>
          <w:color w:val="000000" w:themeColor="text1"/>
          <w:sz w:val="20"/>
          <w:szCs w:val="20"/>
        </w:rPr>
        <w:t>"classical" risk factors (female gender, constipation, alkaline urine) does not preclude diagnosis.</w:t>
      </w:r>
    </w:p>
    <w:p w14:paraId="4D4A8C43" w14:textId="00219118" w:rsidR="00D31E8C" w:rsidRDefault="3C5A252C" w:rsidP="2F9BF80F">
      <w:pPr>
        <w:pStyle w:val="ListParagraph"/>
        <w:numPr>
          <w:ilvl w:val="0"/>
          <w:numId w:val="9"/>
        </w:numPr>
        <w:spacing w:line="360" w:lineRule="auto"/>
        <w:jc w:val="both"/>
        <w:rPr>
          <w:rStyle w:val="None"/>
          <w:rFonts w:ascii="Arial" w:eastAsia="Arial" w:hAnsi="Arial" w:cs="Arial"/>
          <w:sz w:val="20"/>
          <w:szCs w:val="20"/>
        </w:rPr>
      </w:pPr>
      <w:r w:rsidRPr="083073EF">
        <w:rPr>
          <w:rFonts w:ascii="Arial" w:eastAsia="Arial" w:hAnsi="Arial" w:cs="Arial"/>
          <w:color w:val="000000" w:themeColor="text1"/>
          <w:sz w:val="20"/>
          <w:szCs w:val="20"/>
        </w:rPr>
        <w:t>This report documents a rare clinical occurrence of PUBS in El Salvador, contributing to regional epidemiological data.</w:t>
      </w:r>
    </w:p>
    <w:p w14:paraId="4E75665B" w14:textId="6A2C935E" w:rsidR="00D31E8C" w:rsidRDefault="4328195F" w:rsidP="2F9BF80F">
      <w:pPr>
        <w:spacing w:line="360" w:lineRule="auto"/>
        <w:jc w:val="both"/>
        <w:rPr>
          <w:rStyle w:val="None"/>
          <w:rFonts w:ascii="Arial" w:hAnsi="Arial"/>
          <w:sz w:val="20"/>
          <w:szCs w:val="20"/>
        </w:rPr>
      </w:pPr>
      <w:r w:rsidRPr="301AEF76">
        <w:rPr>
          <w:rStyle w:val="None"/>
          <w:rFonts w:ascii="Arial" w:hAnsi="Arial"/>
          <w:b/>
          <w:bCs/>
          <w:sz w:val="20"/>
          <w:szCs w:val="20"/>
        </w:rPr>
        <w:t>Manuscript word count:</w:t>
      </w:r>
      <w:bookmarkEnd w:id="0"/>
      <w:r w:rsidRPr="301AEF76">
        <w:rPr>
          <w:rStyle w:val="None"/>
          <w:rFonts w:ascii="Arial" w:hAnsi="Arial"/>
          <w:b/>
          <w:bCs/>
          <w:sz w:val="20"/>
          <w:szCs w:val="20"/>
        </w:rPr>
        <w:t xml:space="preserve"> </w:t>
      </w:r>
      <w:r w:rsidRPr="301AEF76">
        <w:rPr>
          <w:rStyle w:val="None"/>
          <w:rFonts w:ascii="Arial" w:hAnsi="Arial"/>
          <w:sz w:val="20"/>
          <w:szCs w:val="20"/>
        </w:rPr>
        <w:t>1</w:t>
      </w:r>
      <w:r w:rsidR="3821826C" w:rsidRPr="301AEF76">
        <w:rPr>
          <w:rStyle w:val="None"/>
          <w:rFonts w:ascii="Arial" w:hAnsi="Arial"/>
          <w:sz w:val="20"/>
          <w:szCs w:val="20"/>
        </w:rPr>
        <w:t>6</w:t>
      </w:r>
      <w:r w:rsidR="7053E88D" w:rsidRPr="301AEF76">
        <w:rPr>
          <w:rStyle w:val="None"/>
          <w:rFonts w:ascii="Arial" w:hAnsi="Arial"/>
          <w:sz w:val="20"/>
          <w:szCs w:val="20"/>
        </w:rPr>
        <w:t>30</w:t>
      </w:r>
    </w:p>
    <w:p w14:paraId="08E48129" w14:textId="1D27C991" w:rsidR="00D31E8C" w:rsidRDefault="4328195F" w:rsidP="2F9BF80F">
      <w:pPr>
        <w:pStyle w:val="Body"/>
        <w:spacing w:line="360" w:lineRule="auto"/>
        <w:jc w:val="both"/>
        <w:rPr>
          <w:rStyle w:val="None"/>
          <w:rFonts w:ascii="Arial" w:hAnsi="Arial"/>
          <w:sz w:val="20"/>
          <w:szCs w:val="20"/>
        </w:rPr>
      </w:pPr>
      <w:r w:rsidRPr="301AEF76">
        <w:rPr>
          <w:rStyle w:val="None"/>
          <w:rFonts w:ascii="Arial" w:hAnsi="Arial"/>
          <w:b/>
          <w:bCs/>
          <w:sz w:val="20"/>
          <w:szCs w:val="20"/>
        </w:rPr>
        <w:t>Abstract word count:</w:t>
      </w:r>
      <w:r w:rsidRPr="301AEF76">
        <w:rPr>
          <w:rStyle w:val="None"/>
          <w:rFonts w:ascii="Arial" w:hAnsi="Arial"/>
          <w:sz w:val="20"/>
          <w:szCs w:val="20"/>
        </w:rPr>
        <w:t xml:space="preserve"> 2</w:t>
      </w:r>
      <w:r w:rsidR="0FCF0348" w:rsidRPr="301AEF76">
        <w:rPr>
          <w:rStyle w:val="None"/>
          <w:rFonts w:ascii="Arial" w:hAnsi="Arial"/>
          <w:sz w:val="20"/>
          <w:szCs w:val="20"/>
        </w:rPr>
        <w:t>32</w:t>
      </w:r>
    </w:p>
    <w:p w14:paraId="413BBC0A" w14:textId="77777777" w:rsidR="00D31E8C" w:rsidRDefault="4328195F">
      <w:pPr>
        <w:pStyle w:val="Body"/>
        <w:spacing w:line="360" w:lineRule="auto"/>
        <w:jc w:val="both"/>
        <w:rPr>
          <w:rStyle w:val="None"/>
          <w:rFonts w:ascii="Arial" w:eastAsia="Arial" w:hAnsi="Arial" w:cs="Arial"/>
          <w:sz w:val="20"/>
          <w:szCs w:val="20"/>
        </w:rPr>
      </w:pPr>
      <w:r w:rsidRPr="301AEF76">
        <w:rPr>
          <w:rStyle w:val="None"/>
          <w:rFonts w:ascii="Arial" w:hAnsi="Arial"/>
          <w:b/>
          <w:bCs/>
          <w:sz w:val="20"/>
          <w:szCs w:val="20"/>
        </w:rPr>
        <w:t>Number of Figures and Tables:</w:t>
      </w:r>
      <w:r w:rsidRPr="301AEF76">
        <w:rPr>
          <w:rStyle w:val="None"/>
          <w:rFonts w:ascii="Arial" w:hAnsi="Arial"/>
          <w:sz w:val="20"/>
          <w:szCs w:val="20"/>
        </w:rPr>
        <w:t xml:space="preserve"> 1</w:t>
      </w:r>
    </w:p>
    <w:p w14:paraId="5F5F2457" w14:textId="418CA2EC" w:rsidR="301AEF76" w:rsidRDefault="301AEF76" w:rsidP="301AEF76">
      <w:pPr>
        <w:pStyle w:val="Body"/>
        <w:spacing w:line="360" w:lineRule="auto"/>
        <w:jc w:val="both"/>
        <w:rPr>
          <w:rStyle w:val="None"/>
          <w:rFonts w:ascii="Arial" w:hAnsi="Arial"/>
          <w:b/>
          <w:bCs/>
          <w:sz w:val="20"/>
          <w:szCs w:val="20"/>
        </w:rPr>
      </w:pPr>
    </w:p>
    <w:p w14:paraId="46309374" w14:textId="5B589F28" w:rsidR="301AEF76" w:rsidRDefault="301AEF76" w:rsidP="301AEF76">
      <w:pPr>
        <w:pStyle w:val="Body"/>
        <w:spacing w:line="360" w:lineRule="auto"/>
        <w:jc w:val="both"/>
        <w:rPr>
          <w:rStyle w:val="None"/>
          <w:rFonts w:ascii="Arial" w:hAnsi="Arial"/>
          <w:b/>
          <w:bCs/>
          <w:sz w:val="20"/>
          <w:szCs w:val="20"/>
        </w:rPr>
      </w:pPr>
    </w:p>
    <w:p w14:paraId="37B96F37" w14:textId="7CD1F583" w:rsidR="301AEF76" w:rsidRDefault="301AEF76" w:rsidP="301AEF76">
      <w:pPr>
        <w:pStyle w:val="Body"/>
        <w:spacing w:line="360" w:lineRule="auto"/>
        <w:jc w:val="both"/>
        <w:rPr>
          <w:rStyle w:val="None"/>
          <w:rFonts w:ascii="Arial" w:hAnsi="Arial"/>
          <w:b/>
          <w:bCs/>
          <w:sz w:val="20"/>
          <w:szCs w:val="20"/>
        </w:rPr>
      </w:pPr>
    </w:p>
    <w:p w14:paraId="4A1411E3" w14:textId="54F8C6E3" w:rsidR="301AEF76" w:rsidRDefault="301AEF76" w:rsidP="301AEF76">
      <w:pPr>
        <w:pStyle w:val="Body"/>
        <w:spacing w:line="360" w:lineRule="auto"/>
        <w:jc w:val="both"/>
        <w:rPr>
          <w:rStyle w:val="None"/>
          <w:rFonts w:ascii="Arial" w:hAnsi="Arial"/>
          <w:b/>
          <w:bCs/>
          <w:sz w:val="20"/>
          <w:szCs w:val="20"/>
        </w:rPr>
      </w:pPr>
    </w:p>
    <w:p w14:paraId="79577A18" w14:textId="1A77BF42" w:rsidR="00D31E8C" w:rsidRDefault="4328195F">
      <w:pPr>
        <w:pStyle w:val="Body"/>
        <w:spacing w:line="360" w:lineRule="auto"/>
        <w:jc w:val="both"/>
        <w:rPr>
          <w:rStyle w:val="None"/>
          <w:rFonts w:ascii="Arial" w:eastAsia="Arial" w:hAnsi="Arial" w:cs="Arial"/>
          <w:b/>
          <w:bCs/>
          <w:sz w:val="20"/>
          <w:szCs w:val="20"/>
        </w:rPr>
      </w:pPr>
      <w:r w:rsidRPr="301AEF76">
        <w:rPr>
          <w:rStyle w:val="None"/>
          <w:rFonts w:ascii="Arial" w:hAnsi="Arial"/>
          <w:b/>
          <w:bCs/>
          <w:sz w:val="20"/>
          <w:szCs w:val="20"/>
        </w:rPr>
        <w:t xml:space="preserve">Personal, Professional, and Institutional Social Network accounts. </w:t>
      </w:r>
    </w:p>
    <w:p w14:paraId="2BF3E4A1" w14:textId="732F0A7E" w:rsidR="00D31E8C" w:rsidRDefault="00CD2D46">
      <w:pPr>
        <w:pStyle w:val="ListParagraph"/>
        <w:numPr>
          <w:ilvl w:val="0"/>
          <w:numId w:val="11"/>
        </w:numPr>
        <w:spacing w:line="360" w:lineRule="auto"/>
        <w:jc w:val="both"/>
        <w:rPr>
          <w:rFonts w:ascii="Arial" w:hAnsi="Arial"/>
          <w:sz w:val="20"/>
          <w:szCs w:val="20"/>
        </w:rPr>
      </w:pPr>
      <w:r w:rsidRPr="083073EF">
        <w:rPr>
          <w:rStyle w:val="None"/>
          <w:rFonts w:ascii="Arial" w:hAnsi="Arial"/>
          <w:b/>
          <w:bCs/>
          <w:sz w:val="20"/>
          <w:szCs w:val="20"/>
        </w:rPr>
        <w:t>Facebook:</w:t>
      </w:r>
      <w:hyperlink r:id="rId8">
        <w:r w:rsidR="00D31E8C" w:rsidRPr="083073EF">
          <w:rPr>
            <w:rStyle w:val="Link"/>
            <w:rFonts w:ascii="Arial" w:hAnsi="Arial"/>
            <w:sz w:val="20"/>
            <w:szCs w:val="20"/>
          </w:rPr>
          <w:t>https://www.facebook.com/share/19zmVqAyfx/?mibextid=wwXIfr</w:t>
        </w:r>
      </w:hyperlink>
      <w:r w:rsidRPr="083073EF">
        <w:rPr>
          <w:rFonts w:ascii="Arial" w:hAnsi="Arial"/>
          <w:sz w:val="20"/>
          <w:szCs w:val="20"/>
        </w:rPr>
        <w:t xml:space="preserve">, </w:t>
      </w:r>
      <w:hyperlink r:id="rId9">
        <w:r w:rsidR="00D31E8C" w:rsidRPr="083073EF">
          <w:rPr>
            <w:rStyle w:val="Link"/>
            <w:rFonts w:ascii="Arial" w:hAnsi="Arial"/>
            <w:sz w:val="20"/>
            <w:szCs w:val="20"/>
          </w:rPr>
          <w:t>https://www.facebook.com/share/19xwWmnjcq/?mibextid=wwXIfr</w:t>
        </w:r>
      </w:hyperlink>
      <w:r w:rsidRPr="083073EF">
        <w:rPr>
          <w:rStyle w:val="None"/>
          <w:rFonts w:ascii="Arial" w:hAnsi="Arial"/>
          <w:sz w:val="20"/>
          <w:szCs w:val="20"/>
        </w:rPr>
        <w:t>, https://www.facebook.com/share/1BFwvuKA81/?mibextid=wwXIfr</w:t>
      </w:r>
    </w:p>
    <w:p w14:paraId="4696BC58" w14:textId="77777777" w:rsidR="00D31E8C" w:rsidRDefault="00CD2D46">
      <w:pPr>
        <w:pStyle w:val="ListParagraph"/>
        <w:numPr>
          <w:ilvl w:val="0"/>
          <w:numId w:val="11"/>
        </w:numPr>
        <w:spacing w:line="360" w:lineRule="auto"/>
        <w:jc w:val="both"/>
        <w:rPr>
          <w:rFonts w:ascii="Arial" w:hAnsi="Arial"/>
          <w:sz w:val="20"/>
          <w:szCs w:val="20"/>
        </w:rPr>
      </w:pPr>
      <w:r w:rsidRPr="083073EF">
        <w:rPr>
          <w:rStyle w:val="None"/>
          <w:rFonts w:ascii="Arial" w:hAnsi="Arial"/>
          <w:b/>
          <w:bCs/>
          <w:sz w:val="20"/>
          <w:szCs w:val="20"/>
        </w:rPr>
        <w:t>Twitter:</w:t>
      </w:r>
      <w:r w:rsidRPr="083073EF">
        <w:rPr>
          <w:rStyle w:val="None"/>
          <w:rFonts w:ascii="Arial" w:hAnsi="Arial"/>
          <w:sz w:val="20"/>
          <w:szCs w:val="20"/>
        </w:rPr>
        <w:t xml:space="preserve"> </w:t>
      </w:r>
    </w:p>
    <w:p w14:paraId="1FC45D3A" w14:textId="747D2102" w:rsidR="00D31E8C" w:rsidRDefault="00CD2D46">
      <w:pPr>
        <w:pStyle w:val="ListParagraph"/>
        <w:numPr>
          <w:ilvl w:val="0"/>
          <w:numId w:val="11"/>
        </w:numPr>
        <w:spacing w:line="360" w:lineRule="auto"/>
        <w:jc w:val="both"/>
        <w:rPr>
          <w:rFonts w:ascii="Arial" w:hAnsi="Arial"/>
          <w:b/>
          <w:bCs/>
          <w:sz w:val="20"/>
          <w:szCs w:val="20"/>
        </w:rPr>
      </w:pPr>
      <w:r w:rsidRPr="083073EF">
        <w:rPr>
          <w:rStyle w:val="None"/>
          <w:rFonts w:ascii="Arial" w:hAnsi="Arial"/>
          <w:b/>
          <w:bCs/>
          <w:sz w:val="20"/>
          <w:szCs w:val="20"/>
        </w:rPr>
        <w:t>Instagram:</w:t>
      </w:r>
      <w:hyperlink r:id="rId10">
        <w:r w:rsidR="00D31E8C" w:rsidRPr="083073EF">
          <w:rPr>
            <w:rStyle w:val="Hyperlink1"/>
            <w:rFonts w:ascii="Arial" w:hAnsi="Arial"/>
            <w:sz w:val="20"/>
            <w:szCs w:val="20"/>
          </w:rPr>
          <w:t>https://www.instagram.com/vignecuellar?igsh=bDlnMW50djZ5cWdv</w:t>
        </w:r>
      </w:hyperlink>
      <w:r w:rsidRPr="083073EF">
        <w:rPr>
          <w:rFonts w:ascii="Arial" w:hAnsi="Arial"/>
          <w:b/>
          <w:bCs/>
          <w:sz w:val="20"/>
          <w:szCs w:val="20"/>
        </w:rPr>
        <w:t xml:space="preserve">, </w:t>
      </w:r>
      <w:hyperlink r:id="rId11">
        <w:r w:rsidR="00D31E8C" w:rsidRPr="083073EF">
          <w:rPr>
            <w:rStyle w:val="Link"/>
            <w:rFonts w:ascii="Arial" w:hAnsi="Arial"/>
            <w:b/>
            <w:bCs/>
            <w:sz w:val="20"/>
            <w:szCs w:val="20"/>
          </w:rPr>
          <w:t>https://www.instagram.com/javix10_?igsh=eWszaHpkeGk1cXA3&amp;utm_source=qr</w:t>
        </w:r>
      </w:hyperlink>
      <w:r w:rsidRPr="083073EF">
        <w:rPr>
          <w:rStyle w:val="None"/>
          <w:rFonts w:ascii="Arial" w:hAnsi="Arial"/>
          <w:b/>
          <w:bCs/>
          <w:sz w:val="20"/>
          <w:szCs w:val="20"/>
        </w:rPr>
        <w:t>, https://www.instagram.com/medicinaujmd?igsh=MTI3M3hvMmlnc2psbQ==</w:t>
      </w:r>
    </w:p>
    <w:p w14:paraId="4B394B11" w14:textId="22171C7E" w:rsidR="00D31E8C" w:rsidRDefault="7E60202F" w:rsidP="61E749BD">
      <w:pPr>
        <w:pStyle w:val="ListParagraph"/>
        <w:numPr>
          <w:ilvl w:val="0"/>
          <w:numId w:val="11"/>
        </w:numPr>
        <w:spacing w:line="360" w:lineRule="auto"/>
        <w:jc w:val="both"/>
        <w:rPr>
          <w:rFonts w:ascii="system-ui" w:eastAsia="system-ui" w:hAnsi="system-ui" w:cs="system-ui"/>
          <w:sz w:val="21"/>
          <w:szCs w:val="21"/>
        </w:rPr>
      </w:pPr>
      <w:r w:rsidRPr="083073EF">
        <w:rPr>
          <w:rStyle w:val="None"/>
          <w:rFonts w:ascii="Arial" w:hAnsi="Arial"/>
          <w:b/>
          <w:bCs/>
          <w:sz w:val="20"/>
          <w:szCs w:val="20"/>
        </w:rPr>
        <w:t>Linkedin:</w:t>
      </w:r>
      <w:r w:rsidRPr="083073EF">
        <w:rPr>
          <w:rStyle w:val="None"/>
          <w:rFonts w:ascii="Arial" w:hAnsi="Arial"/>
          <w:sz w:val="20"/>
          <w:szCs w:val="20"/>
        </w:rPr>
        <w:t xml:space="preserve"> </w:t>
      </w:r>
      <w:r w:rsidR="569D3BA7" w:rsidRPr="083073EF">
        <w:rPr>
          <w:rFonts w:ascii="system-ui" w:eastAsia="system-ui" w:hAnsi="system-ui" w:cs="system-ui"/>
          <w:sz w:val="21"/>
          <w:szCs w:val="21"/>
        </w:rPr>
        <w:t>www.linkedin.com/in/paolovigne-md</w:t>
      </w:r>
    </w:p>
    <w:p w14:paraId="7001B293" w14:textId="77777777" w:rsidR="00D31E8C" w:rsidRDefault="00CD2D46">
      <w:pPr>
        <w:pStyle w:val="Body"/>
        <w:spacing w:line="360" w:lineRule="auto"/>
        <w:jc w:val="both"/>
      </w:pPr>
      <w:r w:rsidRPr="083073EF">
        <w:rPr>
          <w:rStyle w:val="None"/>
          <w:rFonts w:ascii="Arial Unicode MS" w:eastAsia="Arial Unicode MS" w:hAnsi="Arial Unicode MS" w:cs="Arial Unicode MS"/>
          <w:sz w:val="20"/>
          <w:szCs w:val="20"/>
        </w:rPr>
        <w:br w:type="page"/>
      </w:r>
    </w:p>
    <w:p w14:paraId="0C2CA4B8" w14:textId="77777777" w:rsidR="00D31E8C" w:rsidRDefault="00CD2D46">
      <w:pPr>
        <w:pStyle w:val="Body"/>
        <w:spacing w:line="360" w:lineRule="auto"/>
        <w:jc w:val="both"/>
        <w:rPr>
          <w:rStyle w:val="None"/>
          <w:rFonts w:ascii="Arial" w:eastAsia="Arial" w:hAnsi="Arial" w:cs="Arial"/>
          <w:b/>
          <w:bCs/>
          <w:sz w:val="20"/>
          <w:szCs w:val="20"/>
        </w:rPr>
      </w:pPr>
      <w:r w:rsidRPr="083073EF">
        <w:rPr>
          <w:rStyle w:val="None"/>
          <w:rFonts w:ascii="Arial" w:hAnsi="Arial"/>
          <w:b/>
          <w:bCs/>
          <w:sz w:val="20"/>
          <w:szCs w:val="20"/>
        </w:rPr>
        <w:lastRenderedPageBreak/>
        <w:t xml:space="preserve">ABSTRACT. </w:t>
      </w:r>
    </w:p>
    <w:p w14:paraId="493BA7CD" w14:textId="427A4C02" w:rsidR="00CD2D46" w:rsidRDefault="00CD2D46" w:rsidP="301AEF76">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320" w:line="360" w:lineRule="auto"/>
        <w:jc w:val="both"/>
        <w:rPr>
          <w:rStyle w:val="Hyperlink1"/>
          <w:rFonts w:ascii="Arial" w:hAnsi="Arial"/>
          <w:sz w:val="20"/>
          <w:szCs w:val="20"/>
        </w:rPr>
      </w:pPr>
      <w:r w:rsidRPr="301AEF76">
        <w:rPr>
          <w:rStyle w:val="None"/>
          <w:rFonts w:ascii="Arial" w:hAnsi="Arial"/>
          <w:b/>
          <w:bCs/>
          <w:sz w:val="20"/>
          <w:szCs w:val="20"/>
        </w:rPr>
        <w:t>Background:</w:t>
      </w:r>
      <w:r>
        <w:br/>
      </w:r>
      <w:r w:rsidRPr="301AEF76">
        <w:rPr>
          <w:rStyle w:val="Hyperlink1"/>
          <w:rFonts w:ascii="Arial" w:hAnsi="Arial"/>
          <w:sz w:val="20"/>
          <w:szCs w:val="20"/>
        </w:rPr>
        <w:t xml:space="preserve">Purple urine bag syndrome (PUBS) is a </w:t>
      </w:r>
      <w:r w:rsidR="553E063F" w:rsidRPr="301AEF76">
        <w:rPr>
          <w:rStyle w:val="Hyperlink1"/>
          <w:rFonts w:ascii="Arial" w:hAnsi="Arial"/>
          <w:sz w:val="20"/>
          <w:szCs w:val="20"/>
        </w:rPr>
        <w:t>rare</w:t>
      </w:r>
      <w:r w:rsidRPr="301AEF76">
        <w:rPr>
          <w:rStyle w:val="Hyperlink1"/>
          <w:rFonts w:ascii="Arial" w:hAnsi="Arial"/>
          <w:sz w:val="20"/>
          <w:szCs w:val="20"/>
        </w:rPr>
        <w:t xml:space="preserve"> condition </w:t>
      </w:r>
      <w:r w:rsidR="330413A5" w:rsidRPr="301AEF76">
        <w:rPr>
          <w:rStyle w:val="Hyperlink1"/>
          <w:rFonts w:ascii="Arial" w:hAnsi="Arial"/>
          <w:sz w:val="20"/>
          <w:szCs w:val="20"/>
        </w:rPr>
        <w:t>classically affecting chronically catheterized elderly woman with alkaline urine and constipation. Presentations without these traditional risk factors are exceedingly</w:t>
      </w:r>
      <w:r w:rsidR="486F5CBE" w:rsidRPr="301AEF76">
        <w:rPr>
          <w:rStyle w:val="Hyperlink1"/>
          <w:rFonts w:ascii="Arial" w:hAnsi="Arial"/>
          <w:sz w:val="20"/>
          <w:szCs w:val="20"/>
        </w:rPr>
        <w:t xml:space="preserve"> rare.</w:t>
      </w:r>
    </w:p>
    <w:p w14:paraId="3F4E051D" w14:textId="772666F6" w:rsidR="7E60202F" w:rsidRDefault="7E60202F" w:rsidP="301AEF76">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320" w:line="360" w:lineRule="auto"/>
        <w:jc w:val="both"/>
        <w:rPr>
          <w:rFonts w:ascii="Arial" w:hAnsi="Arial"/>
          <w:sz w:val="20"/>
          <w:szCs w:val="20"/>
        </w:rPr>
      </w:pPr>
      <w:r w:rsidRPr="301AEF76">
        <w:rPr>
          <w:rStyle w:val="None"/>
          <w:rFonts w:ascii="Arial" w:hAnsi="Arial"/>
          <w:b/>
          <w:bCs/>
          <w:sz w:val="20"/>
          <w:szCs w:val="20"/>
        </w:rPr>
        <w:t>Case:</w:t>
      </w:r>
      <w:r>
        <w:br/>
      </w:r>
      <w:r w:rsidRPr="301AEF76">
        <w:rPr>
          <w:rFonts w:ascii="Arial" w:hAnsi="Arial"/>
          <w:sz w:val="20"/>
          <w:szCs w:val="20"/>
        </w:rPr>
        <w:t xml:space="preserve">A 76-year-old </w:t>
      </w:r>
      <w:r w:rsidR="7E121F4C" w:rsidRPr="301AEF76">
        <w:rPr>
          <w:rFonts w:ascii="Arial" w:hAnsi="Arial"/>
          <w:sz w:val="20"/>
          <w:szCs w:val="20"/>
        </w:rPr>
        <w:t xml:space="preserve">chronically catheterized Salvadoran </w:t>
      </w:r>
      <w:r w:rsidR="45B5E1BF" w:rsidRPr="301AEF76">
        <w:rPr>
          <w:rFonts w:ascii="Arial" w:hAnsi="Arial"/>
          <w:sz w:val="20"/>
          <w:szCs w:val="20"/>
        </w:rPr>
        <w:t xml:space="preserve">man </w:t>
      </w:r>
      <w:r w:rsidR="54A5C0DC" w:rsidRPr="301AEF76">
        <w:rPr>
          <w:rFonts w:ascii="Arial" w:hAnsi="Arial"/>
          <w:sz w:val="20"/>
          <w:szCs w:val="20"/>
        </w:rPr>
        <w:t>with benign</w:t>
      </w:r>
      <w:r w:rsidRPr="301AEF76">
        <w:rPr>
          <w:rFonts w:ascii="Arial" w:hAnsi="Arial"/>
          <w:sz w:val="20"/>
          <w:szCs w:val="20"/>
        </w:rPr>
        <w:t xml:space="preserve"> prostatic hyperplasia presented </w:t>
      </w:r>
      <w:r w:rsidR="3866814D" w:rsidRPr="301AEF76">
        <w:rPr>
          <w:rFonts w:ascii="Arial" w:hAnsi="Arial"/>
          <w:sz w:val="20"/>
          <w:szCs w:val="20"/>
        </w:rPr>
        <w:t>with a</w:t>
      </w:r>
      <w:r w:rsidRPr="301AEF76">
        <w:rPr>
          <w:rFonts w:ascii="Arial" w:hAnsi="Arial"/>
          <w:sz w:val="20"/>
          <w:szCs w:val="20"/>
        </w:rPr>
        <w:t xml:space="preserve"> 15-month history of recurrent purple </w:t>
      </w:r>
      <w:r w:rsidR="263568F4" w:rsidRPr="301AEF76">
        <w:rPr>
          <w:rFonts w:ascii="Arial" w:hAnsi="Arial"/>
          <w:sz w:val="20"/>
          <w:szCs w:val="20"/>
        </w:rPr>
        <w:t xml:space="preserve">urine bag </w:t>
      </w:r>
      <w:r w:rsidR="40477EB6" w:rsidRPr="301AEF76">
        <w:rPr>
          <w:rFonts w:ascii="Arial" w:hAnsi="Arial"/>
          <w:sz w:val="20"/>
          <w:szCs w:val="20"/>
        </w:rPr>
        <w:t>discoloration, dysuria</w:t>
      </w:r>
      <w:r w:rsidRPr="301AEF76">
        <w:rPr>
          <w:rFonts w:ascii="Arial" w:hAnsi="Arial"/>
          <w:sz w:val="20"/>
          <w:szCs w:val="20"/>
        </w:rPr>
        <w:t xml:space="preserve"> and suprapubic pain</w:t>
      </w:r>
      <w:r w:rsidR="27F1B633" w:rsidRPr="301AEF76">
        <w:rPr>
          <w:rFonts w:ascii="Arial" w:hAnsi="Arial"/>
          <w:sz w:val="20"/>
          <w:szCs w:val="20"/>
        </w:rPr>
        <w:t>.</w:t>
      </w:r>
      <w:r w:rsidR="7891607E" w:rsidRPr="301AEF76">
        <w:rPr>
          <w:rFonts w:ascii="Arial" w:hAnsi="Arial"/>
          <w:sz w:val="20"/>
          <w:szCs w:val="20"/>
        </w:rPr>
        <w:t xml:space="preserve"> Notably, he lacked</w:t>
      </w:r>
      <w:r w:rsidRPr="301AEF76">
        <w:rPr>
          <w:rFonts w:ascii="Arial" w:hAnsi="Arial"/>
          <w:sz w:val="20"/>
          <w:szCs w:val="20"/>
        </w:rPr>
        <w:t xml:space="preserve"> fever, flank pain, or constipation. </w:t>
      </w:r>
      <w:r w:rsidR="27EFA5C7" w:rsidRPr="301AEF76">
        <w:rPr>
          <w:rFonts w:ascii="Arial" w:hAnsi="Arial"/>
          <w:sz w:val="20"/>
          <w:szCs w:val="20"/>
        </w:rPr>
        <w:t>E</w:t>
      </w:r>
      <w:r w:rsidRPr="301AEF76">
        <w:rPr>
          <w:rFonts w:ascii="Arial" w:hAnsi="Arial"/>
          <w:sz w:val="20"/>
          <w:szCs w:val="20"/>
        </w:rPr>
        <w:t xml:space="preserve">xamination </w:t>
      </w:r>
      <w:r w:rsidR="4FF09670" w:rsidRPr="301AEF76">
        <w:rPr>
          <w:rFonts w:ascii="Arial" w:hAnsi="Arial"/>
          <w:sz w:val="20"/>
          <w:szCs w:val="20"/>
        </w:rPr>
        <w:t xml:space="preserve">confirmed a purple </w:t>
      </w:r>
      <w:r w:rsidR="66ED0CE1" w:rsidRPr="301AEF76">
        <w:rPr>
          <w:rFonts w:ascii="Arial" w:hAnsi="Arial"/>
          <w:sz w:val="20"/>
          <w:szCs w:val="20"/>
        </w:rPr>
        <w:t>drainage</w:t>
      </w:r>
      <w:r w:rsidR="4FF09670" w:rsidRPr="301AEF76">
        <w:rPr>
          <w:rFonts w:ascii="Arial" w:hAnsi="Arial"/>
          <w:sz w:val="20"/>
          <w:szCs w:val="20"/>
        </w:rPr>
        <w:t xml:space="preserve"> system </w:t>
      </w:r>
      <w:r w:rsidR="1D57085D" w:rsidRPr="301AEF76">
        <w:rPr>
          <w:rFonts w:ascii="Arial" w:hAnsi="Arial"/>
          <w:sz w:val="20"/>
          <w:szCs w:val="20"/>
        </w:rPr>
        <w:t>and suprapubic</w:t>
      </w:r>
      <w:r w:rsidRPr="301AEF76">
        <w:rPr>
          <w:rFonts w:ascii="Arial" w:hAnsi="Arial"/>
          <w:sz w:val="20"/>
          <w:szCs w:val="20"/>
        </w:rPr>
        <w:t xml:space="preserve"> tenderness</w:t>
      </w:r>
      <w:r w:rsidR="5237F74E" w:rsidRPr="301AEF76">
        <w:rPr>
          <w:rFonts w:ascii="Arial" w:hAnsi="Arial"/>
          <w:sz w:val="20"/>
          <w:szCs w:val="20"/>
        </w:rPr>
        <w:t>.</w:t>
      </w:r>
      <w:r w:rsidRPr="301AEF76">
        <w:rPr>
          <w:rFonts w:ascii="Arial" w:hAnsi="Arial"/>
          <w:sz w:val="20"/>
          <w:szCs w:val="20"/>
        </w:rPr>
        <w:t xml:space="preserve"> </w:t>
      </w:r>
      <w:r w:rsidR="2F12C5BD" w:rsidRPr="301AEF76">
        <w:rPr>
          <w:rFonts w:ascii="Arial" w:hAnsi="Arial"/>
          <w:sz w:val="20"/>
          <w:szCs w:val="20"/>
        </w:rPr>
        <w:t xml:space="preserve">Urinalysis revealed </w:t>
      </w:r>
      <w:r w:rsidRPr="301AEF76">
        <w:rPr>
          <w:rFonts w:ascii="Arial" w:hAnsi="Arial"/>
          <w:sz w:val="20"/>
          <w:szCs w:val="20"/>
        </w:rPr>
        <w:t xml:space="preserve">acidic urine (pH 6). Urine culture </w:t>
      </w:r>
      <w:r w:rsidR="1E24DA68" w:rsidRPr="301AEF76">
        <w:rPr>
          <w:rFonts w:ascii="Arial" w:hAnsi="Arial"/>
          <w:sz w:val="20"/>
          <w:szCs w:val="20"/>
        </w:rPr>
        <w:t>identified</w:t>
      </w:r>
      <w:r w:rsidRPr="301AEF76">
        <w:rPr>
          <w:rFonts w:ascii="Arial" w:hAnsi="Arial"/>
          <w:sz w:val="20"/>
          <w:szCs w:val="20"/>
        </w:rPr>
        <w:t xml:space="preserve"> extended-spectrum β-lactamase (ESBL)-producing </w:t>
      </w:r>
      <w:r w:rsidRPr="301AEF76">
        <w:rPr>
          <w:rStyle w:val="None"/>
          <w:rFonts w:ascii="Arial" w:hAnsi="Arial"/>
          <w:i/>
          <w:iCs/>
          <w:sz w:val="20"/>
          <w:szCs w:val="20"/>
        </w:rPr>
        <w:t>Proteus mirabilis</w:t>
      </w:r>
      <w:r w:rsidRPr="301AEF76">
        <w:rPr>
          <w:rFonts w:ascii="Arial" w:hAnsi="Arial"/>
          <w:sz w:val="20"/>
          <w:szCs w:val="20"/>
        </w:rPr>
        <w:t xml:space="preserve"> </w:t>
      </w:r>
      <w:r w:rsidR="7CF1BA76" w:rsidRPr="301AEF76">
        <w:rPr>
          <w:rFonts w:ascii="Arial" w:hAnsi="Arial"/>
          <w:sz w:val="20"/>
          <w:szCs w:val="20"/>
        </w:rPr>
        <w:t>susceptible</w:t>
      </w:r>
      <w:r w:rsidRPr="301AEF76">
        <w:rPr>
          <w:rFonts w:ascii="Arial" w:hAnsi="Arial"/>
          <w:sz w:val="20"/>
          <w:szCs w:val="20"/>
        </w:rPr>
        <w:t xml:space="preserve"> to trimethoprim/sulfamethoxazole</w:t>
      </w:r>
      <w:r w:rsidR="6906C158" w:rsidRPr="301AEF76">
        <w:rPr>
          <w:rFonts w:ascii="Arial" w:hAnsi="Arial"/>
          <w:sz w:val="20"/>
          <w:szCs w:val="20"/>
        </w:rPr>
        <w:t xml:space="preserve"> but</w:t>
      </w:r>
      <w:r w:rsidR="67CFC5F7" w:rsidRPr="301AEF76">
        <w:rPr>
          <w:rFonts w:ascii="Arial" w:hAnsi="Arial"/>
          <w:sz w:val="20"/>
          <w:szCs w:val="20"/>
        </w:rPr>
        <w:t xml:space="preserve"> resistant to ciprofloxacin</w:t>
      </w:r>
      <w:r w:rsidRPr="301AEF76">
        <w:rPr>
          <w:rFonts w:ascii="Arial" w:hAnsi="Arial"/>
          <w:sz w:val="20"/>
          <w:szCs w:val="20"/>
        </w:rPr>
        <w:t xml:space="preserve">. </w:t>
      </w:r>
      <w:r w:rsidR="335928B8" w:rsidRPr="301AEF76">
        <w:rPr>
          <w:rFonts w:ascii="Arial" w:hAnsi="Arial"/>
          <w:sz w:val="20"/>
          <w:szCs w:val="20"/>
        </w:rPr>
        <w:t>A</w:t>
      </w:r>
      <w:r w:rsidR="146FA2F9" w:rsidRPr="301AEF76">
        <w:rPr>
          <w:rFonts w:ascii="Arial" w:hAnsi="Arial"/>
          <w:sz w:val="20"/>
          <w:szCs w:val="20"/>
        </w:rPr>
        <w:t xml:space="preserve">t the initial encounter, </w:t>
      </w:r>
      <w:r w:rsidR="7B9B8670" w:rsidRPr="301AEF76">
        <w:rPr>
          <w:rFonts w:ascii="Arial" w:hAnsi="Arial"/>
          <w:sz w:val="20"/>
          <w:szCs w:val="20"/>
        </w:rPr>
        <w:t>e</w:t>
      </w:r>
      <w:r w:rsidRPr="301AEF76">
        <w:rPr>
          <w:rFonts w:ascii="Arial" w:hAnsi="Arial"/>
          <w:sz w:val="20"/>
          <w:szCs w:val="20"/>
        </w:rPr>
        <w:t xml:space="preserve">mpiric </w:t>
      </w:r>
      <w:r w:rsidR="2765D43F" w:rsidRPr="301AEF76">
        <w:rPr>
          <w:rFonts w:ascii="Arial" w:hAnsi="Arial"/>
          <w:sz w:val="20"/>
          <w:szCs w:val="20"/>
        </w:rPr>
        <w:t>ciprofloxacin was</w:t>
      </w:r>
      <w:r w:rsidRPr="301AEF76">
        <w:rPr>
          <w:rFonts w:ascii="Arial" w:hAnsi="Arial"/>
          <w:sz w:val="20"/>
          <w:szCs w:val="20"/>
        </w:rPr>
        <w:t xml:space="preserve"> </w:t>
      </w:r>
      <w:r w:rsidR="57B16F4E" w:rsidRPr="301AEF76">
        <w:rPr>
          <w:rFonts w:ascii="Arial" w:hAnsi="Arial"/>
          <w:sz w:val="20"/>
          <w:szCs w:val="20"/>
        </w:rPr>
        <w:t>started alongside routine catheter exchange</w:t>
      </w:r>
      <w:r w:rsidR="0AA3608E" w:rsidRPr="301AEF76">
        <w:rPr>
          <w:rFonts w:ascii="Arial" w:hAnsi="Arial"/>
          <w:sz w:val="20"/>
          <w:szCs w:val="20"/>
        </w:rPr>
        <w:t xml:space="preserve">. </w:t>
      </w:r>
      <w:r w:rsidR="287316C6" w:rsidRPr="301AEF76">
        <w:rPr>
          <w:rFonts w:ascii="Arial" w:hAnsi="Arial"/>
          <w:sz w:val="20"/>
          <w:szCs w:val="20"/>
        </w:rPr>
        <w:t>At a seven-day follow-up, despite the isolate’s resistance, he showed clinical improvement and was transitioned to a targeted regimen</w:t>
      </w:r>
      <w:r w:rsidR="2DC2E49B" w:rsidRPr="301AEF76">
        <w:rPr>
          <w:rFonts w:ascii="Arial" w:hAnsi="Arial"/>
          <w:sz w:val="20"/>
          <w:szCs w:val="20"/>
        </w:rPr>
        <w:t xml:space="preserve">. </w:t>
      </w:r>
      <w:r w:rsidR="1E895257" w:rsidRPr="301AEF76">
        <w:rPr>
          <w:rFonts w:ascii="Arial" w:hAnsi="Arial"/>
          <w:sz w:val="20"/>
          <w:szCs w:val="20"/>
        </w:rPr>
        <w:t xml:space="preserve">Ultimately, the patient achieved complete resolution </w:t>
      </w:r>
      <w:r w:rsidR="2DC2E49B" w:rsidRPr="301AEF76">
        <w:rPr>
          <w:rFonts w:ascii="Arial" w:hAnsi="Arial"/>
          <w:sz w:val="20"/>
          <w:szCs w:val="20"/>
        </w:rPr>
        <w:t>after catheter replacement and culture-direct</w:t>
      </w:r>
      <w:r w:rsidR="685A3C8F" w:rsidRPr="301AEF76">
        <w:rPr>
          <w:rFonts w:ascii="Arial" w:hAnsi="Arial"/>
          <w:sz w:val="20"/>
          <w:szCs w:val="20"/>
        </w:rPr>
        <w:t xml:space="preserve">ed antibiotic therapy, with negative repeat urinalysis and culture at the final follow-up. </w:t>
      </w:r>
    </w:p>
    <w:p w14:paraId="5B8F52A4" w14:textId="059C93ED" w:rsidR="00D31E8C" w:rsidRDefault="44940487" w:rsidP="2F9BF80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360" w:lineRule="auto"/>
        <w:jc w:val="both"/>
        <w:rPr>
          <w:rFonts w:ascii="Arial" w:eastAsia="Arial" w:hAnsi="Arial" w:cs="Arial"/>
          <w:b/>
          <w:bCs/>
          <w:color w:val="auto"/>
          <w:sz w:val="20"/>
          <w:szCs w:val="20"/>
        </w:rPr>
      </w:pPr>
      <w:r w:rsidRPr="083073EF">
        <w:rPr>
          <w:rFonts w:ascii="Arial" w:hAnsi="Arial"/>
          <w:b/>
          <w:bCs/>
          <w:color w:val="auto"/>
          <w:sz w:val="20"/>
          <w:szCs w:val="20"/>
        </w:rPr>
        <w:t>Conclusions:</w:t>
      </w:r>
    </w:p>
    <w:p w14:paraId="25593ECD" w14:textId="451ADF29" w:rsidR="4CB620AB" w:rsidRDefault="2D6FA2C3" w:rsidP="301AEF76">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360" w:lineRule="auto"/>
        <w:jc w:val="both"/>
        <w:rPr>
          <w:rFonts w:ascii="Arial" w:hAnsi="Arial"/>
          <w:sz w:val="20"/>
          <w:szCs w:val="20"/>
          <w:lang w:val="es-SV"/>
        </w:rPr>
      </w:pPr>
      <w:r w:rsidRPr="301AEF76">
        <w:rPr>
          <w:rFonts w:ascii="Arial" w:eastAsia="Arial" w:hAnsi="Arial" w:cs="Arial"/>
          <w:color w:val="auto"/>
          <w:sz w:val="20"/>
          <w:szCs w:val="20"/>
        </w:rPr>
        <w:t xml:space="preserve">This case report </w:t>
      </w:r>
      <w:r w:rsidR="2361AA93" w:rsidRPr="301AEF76">
        <w:rPr>
          <w:rFonts w:ascii="Arial" w:eastAsia="Arial" w:hAnsi="Arial" w:cs="Arial"/>
          <w:color w:val="auto"/>
          <w:sz w:val="20"/>
          <w:szCs w:val="20"/>
        </w:rPr>
        <w:t xml:space="preserve">expands the recognized clinical spectrum of PUBS by documenting its </w:t>
      </w:r>
      <w:r w:rsidR="1409A296" w:rsidRPr="301AEF76">
        <w:rPr>
          <w:rFonts w:ascii="Arial" w:eastAsia="Arial" w:hAnsi="Arial" w:cs="Arial"/>
          <w:color w:val="auto"/>
          <w:sz w:val="20"/>
          <w:szCs w:val="20"/>
        </w:rPr>
        <w:t>occurrence</w:t>
      </w:r>
      <w:r w:rsidR="2361AA93" w:rsidRPr="301AEF76">
        <w:rPr>
          <w:rFonts w:ascii="Arial" w:eastAsia="Arial" w:hAnsi="Arial" w:cs="Arial"/>
          <w:color w:val="auto"/>
          <w:sz w:val="20"/>
          <w:szCs w:val="20"/>
        </w:rPr>
        <w:t xml:space="preserve"> in a chronically catheterized male patient with measured acidic urine and no history of constipation. This presentation highligh</w:t>
      </w:r>
      <w:r w:rsidR="4AC6A327" w:rsidRPr="301AEF76">
        <w:rPr>
          <w:rFonts w:ascii="Arial" w:eastAsia="Arial" w:hAnsi="Arial" w:cs="Arial"/>
          <w:color w:val="auto"/>
          <w:sz w:val="20"/>
          <w:szCs w:val="20"/>
        </w:rPr>
        <w:t xml:space="preserve">ts the importance of clinical </w:t>
      </w:r>
      <w:r w:rsidR="749EAE94" w:rsidRPr="301AEF76">
        <w:rPr>
          <w:rFonts w:ascii="Arial" w:eastAsia="Arial" w:hAnsi="Arial" w:cs="Arial"/>
          <w:color w:val="auto"/>
          <w:sz w:val="20"/>
          <w:szCs w:val="20"/>
        </w:rPr>
        <w:t>awareness</w:t>
      </w:r>
      <w:r w:rsidR="4AC6A327" w:rsidRPr="301AEF76">
        <w:rPr>
          <w:rFonts w:ascii="Arial" w:eastAsia="Arial" w:hAnsi="Arial" w:cs="Arial"/>
          <w:color w:val="auto"/>
          <w:sz w:val="20"/>
          <w:szCs w:val="20"/>
        </w:rPr>
        <w:t xml:space="preserve"> to avoid </w:t>
      </w:r>
      <w:r w:rsidR="16E0BCED" w:rsidRPr="301AEF76">
        <w:rPr>
          <w:rFonts w:ascii="Arial" w:eastAsia="Arial" w:hAnsi="Arial" w:cs="Arial"/>
          <w:color w:val="auto"/>
          <w:sz w:val="20"/>
          <w:szCs w:val="20"/>
        </w:rPr>
        <w:t>delayed</w:t>
      </w:r>
      <w:r w:rsidR="4AC6A327" w:rsidRPr="301AEF76">
        <w:rPr>
          <w:rFonts w:ascii="Arial" w:eastAsia="Arial" w:hAnsi="Arial" w:cs="Arial"/>
          <w:color w:val="auto"/>
          <w:sz w:val="20"/>
          <w:szCs w:val="20"/>
        </w:rPr>
        <w:t xml:space="preserve"> diagnosis of potentially resistant pathogens. </w:t>
      </w:r>
      <w:r w:rsidRPr="301AEF76">
        <w:rPr>
          <w:rFonts w:ascii="Arial" w:eastAsia="Arial" w:hAnsi="Arial" w:cs="Arial"/>
          <w:color w:val="auto"/>
          <w:sz w:val="20"/>
          <w:szCs w:val="20"/>
        </w:rPr>
        <w:t xml:space="preserve"> </w:t>
      </w:r>
      <w:r w:rsidR="7E60202F" w:rsidRPr="301AEF76">
        <w:rPr>
          <w:rFonts w:ascii="Arial" w:hAnsi="Arial"/>
          <w:color w:val="auto"/>
          <w:sz w:val="20"/>
          <w:szCs w:val="20"/>
        </w:rPr>
        <w:t xml:space="preserve"> To </w:t>
      </w:r>
      <w:r w:rsidR="5FA58EE5" w:rsidRPr="301AEF76">
        <w:rPr>
          <w:rFonts w:ascii="Arial" w:hAnsi="Arial"/>
          <w:color w:val="auto"/>
          <w:sz w:val="20"/>
          <w:szCs w:val="20"/>
        </w:rPr>
        <w:t xml:space="preserve">the best of </w:t>
      </w:r>
      <w:r w:rsidR="7E60202F" w:rsidRPr="301AEF76">
        <w:rPr>
          <w:rFonts w:ascii="Arial" w:hAnsi="Arial"/>
          <w:color w:val="auto"/>
          <w:sz w:val="20"/>
          <w:szCs w:val="20"/>
        </w:rPr>
        <w:t xml:space="preserve">our knowledge, this represents the first </w:t>
      </w:r>
      <w:r w:rsidR="72602DE1" w:rsidRPr="301AEF76">
        <w:rPr>
          <w:rFonts w:ascii="Arial" w:hAnsi="Arial"/>
          <w:color w:val="auto"/>
          <w:sz w:val="20"/>
          <w:szCs w:val="20"/>
        </w:rPr>
        <w:t>published</w:t>
      </w:r>
      <w:r w:rsidR="7E60202F" w:rsidRPr="301AEF76">
        <w:rPr>
          <w:rFonts w:ascii="Arial" w:hAnsi="Arial"/>
          <w:color w:val="auto"/>
          <w:sz w:val="20"/>
          <w:szCs w:val="20"/>
        </w:rPr>
        <w:t xml:space="preserve"> case of PUBS in El Salvador</w:t>
      </w:r>
      <w:r w:rsidR="5EADCAB6" w:rsidRPr="301AEF76">
        <w:rPr>
          <w:rFonts w:ascii="Arial" w:hAnsi="Arial"/>
          <w:color w:val="auto"/>
          <w:sz w:val="20"/>
          <w:szCs w:val="20"/>
        </w:rPr>
        <w:t>.</w:t>
      </w:r>
    </w:p>
    <w:p w14:paraId="0C7A78BA" w14:textId="77777777" w:rsidR="00D31E8C" w:rsidRDefault="00D31E8C">
      <w:pPr>
        <w:pStyle w:val="fulltext-references"/>
        <w:spacing w:before="0" w:after="0" w:line="360" w:lineRule="auto"/>
        <w:jc w:val="both"/>
        <w:rPr>
          <w:rStyle w:val="None"/>
          <w:rFonts w:ascii="Arial" w:eastAsia="Arial" w:hAnsi="Arial" w:cs="Arial"/>
          <w:sz w:val="20"/>
          <w:szCs w:val="20"/>
          <w:shd w:val="clear" w:color="auto" w:fill="C0C0C0"/>
        </w:rPr>
      </w:pPr>
    </w:p>
    <w:p w14:paraId="51762580" w14:textId="77777777" w:rsidR="00D31E8C" w:rsidRDefault="00CD2D46">
      <w:pPr>
        <w:pStyle w:val="fulltext-references"/>
        <w:spacing w:before="0" w:after="0" w:line="360" w:lineRule="auto"/>
        <w:jc w:val="both"/>
        <w:rPr>
          <w:rStyle w:val="None"/>
          <w:rFonts w:ascii="Arial" w:eastAsia="Arial" w:hAnsi="Arial" w:cs="Arial"/>
          <w:sz w:val="20"/>
          <w:szCs w:val="20"/>
        </w:rPr>
      </w:pPr>
      <w:bookmarkStart w:id="1" w:name="_Hlk41334155"/>
      <w:r w:rsidRPr="083073EF">
        <w:rPr>
          <w:rStyle w:val="None"/>
          <w:rFonts w:ascii="Arial" w:hAnsi="Arial"/>
          <w:b/>
          <w:bCs/>
          <w:sz w:val="20"/>
          <w:szCs w:val="20"/>
        </w:rPr>
        <w:t>Key Words</w:t>
      </w:r>
      <w:r w:rsidRPr="083073EF">
        <w:rPr>
          <w:rStyle w:val="None"/>
          <w:rFonts w:ascii="Arial" w:hAnsi="Arial"/>
          <w:sz w:val="20"/>
          <w:szCs w:val="20"/>
        </w:rPr>
        <w:t>:</w:t>
      </w:r>
      <w:bookmarkEnd w:id="1"/>
      <w:r w:rsidRPr="083073EF">
        <w:rPr>
          <w:rStyle w:val="None"/>
          <w:rFonts w:ascii="Arial" w:hAnsi="Arial"/>
          <w:sz w:val="20"/>
          <w:szCs w:val="20"/>
        </w:rPr>
        <w:t xml:space="preserve"> Indwelling Catheter, Urinary Tract Infection, Pigmentation Disorder, Bacteriuria, Risk Factor, Catheter-Related Infection, Urine, Proteus mirabilis, Case Reports (Source: MeSH-NLM).</w:t>
      </w:r>
    </w:p>
    <w:p w14:paraId="3C89869A" w14:textId="77777777" w:rsidR="00D31E8C" w:rsidRDefault="00CD2D46">
      <w:pPr>
        <w:pStyle w:val="fulltext-references"/>
        <w:spacing w:before="0" w:after="0" w:line="360" w:lineRule="auto"/>
        <w:jc w:val="both"/>
      </w:pPr>
      <w:r w:rsidRPr="083073EF">
        <w:rPr>
          <w:rStyle w:val="None"/>
          <w:rFonts w:ascii="Arial Unicode MS" w:eastAsia="Arial Unicode MS" w:hAnsi="Arial Unicode MS" w:cs="Arial Unicode MS"/>
          <w:sz w:val="20"/>
          <w:szCs w:val="20"/>
        </w:rPr>
        <w:br w:type="page"/>
      </w:r>
    </w:p>
    <w:p w14:paraId="02FD9964" w14:textId="77777777" w:rsidR="00D31E8C" w:rsidRDefault="4328195F" w:rsidP="2F9BF80F">
      <w:pPr>
        <w:pStyle w:val="fulltext-references"/>
        <w:spacing w:before="0" w:after="0" w:line="360" w:lineRule="auto"/>
        <w:jc w:val="both"/>
        <w:rPr>
          <w:rStyle w:val="None"/>
          <w:rFonts w:ascii="Arial" w:eastAsia="Arial" w:hAnsi="Arial" w:cs="Arial"/>
          <w:b/>
          <w:bCs/>
          <w:color w:val="auto"/>
          <w:sz w:val="20"/>
          <w:szCs w:val="20"/>
        </w:rPr>
      </w:pPr>
      <w:r w:rsidRPr="083073EF">
        <w:rPr>
          <w:rStyle w:val="None"/>
          <w:rFonts w:ascii="Arial" w:eastAsia="Arial" w:hAnsi="Arial" w:cs="Arial"/>
          <w:b/>
          <w:bCs/>
          <w:color w:val="auto"/>
          <w:sz w:val="20"/>
          <w:szCs w:val="20"/>
        </w:rPr>
        <w:lastRenderedPageBreak/>
        <w:t>INTRODUCTION.</w:t>
      </w:r>
    </w:p>
    <w:p w14:paraId="55F243D4" w14:textId="6D4078B2" w:rsidR="00D31E8C" w:rsidRDefault="7E60202F" w:rsidP="083073E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360" w:lineRule="auto"/>
        <w:jc w:val="both"/>
        <w:rPr>
          <w:rFonts w:ascii="Arial" w:eastAsia="Arial" w:hAnsi="Arial" w:cs="Arial"/>
          <w:color w:val="000000" w:themeColor="text1"/>
          <w:sz w:val="20"/>
          <w:szCs w:val="20"/>
          <w:vertAlign w:val="superscript"/>
        </w:rPr>
      </w:pPr>
      <w:r w:rsidRPr="4CB620AB">
        <w:rPr>
          <w:rFonts w:ascii="Arial" w:eastAsia="Arial" w:hAnsi="Arial" w:cs="Arial"/>
          <w:color w:val="auto"/>
          <w:sz w:val="20"/>
          <w:szCs w:val="20"/>
        </w:rPr>
        <w:t>Purple urine bag syndrome (PUBS) is a clinical condition where the urine bag and/or drainage system turns purple. It was first described in 1978 by Barlow et al in The Lancet.</w:t>
      </w:r>
      <w:sdt>
        <w:sdtPr>
          <w:rPr>
            <w:rFonts w:ascii="Arial" w:eastAsia="Arial" w:hAnsi="Arial" w:cs="Arial"/>
            <w:color w:val="auto"/>
            <w:sz w:val="20"/>
            <w:szCs w:val="20"/>
            <w:vertAlign w:val="superscript"/>
          </w:rPr>
          <w:tag w:val="MENDELEY_CITATION_v3_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"/>
          <w:id w:val="851862696"/>
          <w:placeholder>
            <w:docPart w:val="DefaultPlaceholder_-1854013440"/>
          </w:placeholder>
        </w:sdtPr>
        <w:sdtEndPr/>
        <w:sdtContent>
          <w:r w:rsidR="4CB620AB" w:rsidRPr="4CB620AB">
            <w:rPr>
              <w:rFonts w:ascii="Arial" w:eastAsia="Arial" w:hAnsi="Arial" w:cs="Arial"/>
              <w:color w:val="000000" w:themeColor="text1"/>
              <w:sz w:val="20"/>
              <w:szCs w:val="20"/>
              <w:vertAlign w:val="superscript"/>
            </w:rPr>
            <w:t>1</w:t>
          </w:r>
        </w:sdtContent>
      </w:sdt>
      <w:r w:rsidR="5470D332" w:rsidRPr="4CB620AB">
        <w:rPr>
          <w:rFonts w:ascii="Arial" w:eastAsia="Arial" w:hAnsi="Arial" w:cs="Arial"/>
          <w:color w:val="auto"/>
          <w:sz w:val="20"/>
          <w:szCs w:val="20"/>
        </w:rPr>
        <w:t xml:space="preserve"> </w:t>
      </w:r>
      <w:r w:rsidRPr="4CB620AB">
        <w:rPr>
          <w:rFonts w:ascii="Arial" w:eastAsia="Arial" w:hAnsi="Arial" w:cs="Arial"/>
          <w:color w:val="auto"/>
          <w:sz w:val="20"/>
          <w:szCs w:val="20"/>
        </w:rPr>
        <w:t>The striking coloration is due to the accumulation of metabolites of tryptophan. Normally tryptophan from the diet is metabolized to indole by the bacteria present in the gastrointestinal tract. Indole is then converted to indo</w:t>
      </w:r>
      <w:r w:rsidR="1F4BCE56" w:rsidRPr="4CB620AB">
        <w:rPr>
          <w:rFonts w:ascii="Arial" w:eastAsia="Arial" w:hAnsi="Arial" w:cs="Arial"/>
          <w:color w:val="auto"/>
          <w:sz w:val="20"/>
          <w:szCs w:val="20"/>
        </w:rPr>
        <w:t>xyl</w:t>
      </w:r>
      <w:r w:rsidRPr="4CB620AB">
        <w:rPr>
          <w:rFonts w:ascii="Arial" w:eastAsia="Arial" w:hAnsi="Arial" w:cs="Arial"/>
          <w:color w:val="auto"/>
          <w:sz w:val="20"/>
          <w:szCs w:val="20"/>
        </w:rPr>
        <w:t>sulfate in the liver for excretion in the urine. In the urinary system</w:t>
      </w:r>
      <w:r w:rsidR="6F2D4EE5" w:rsidRPr="4CB620AB">
        <w:rPr>
          <w:rFonts w:ascii="Arial" w:eastAsia="Arial" w:hAnsi="Arial" w:cs="Arial"/>
          <w:color w:val="auto"/>
          <w:sz w:val="20"/>
          <w:szCs w:val="20"/>
        </w:rPr>
        <w:t>,</w:t>
      </w:r>
      <w:r w:rsidRPr="4CB620AB">
        <w:rPr>
          <w:rFonts w:ascii="Arial" w:eastAsia="Arial" w:hAnsi="Arial" w:cs="Arial"/>
          <w:color w:val="auto"/>
          <w:sz w:val="20"/>
          <w:szCs w:val="20"/>
        </w:rPr>
        <w:t xml:space="preserve"> </w:t>
      </w:r>
      <w:r w:rsidR="170CD0B3" w:rsidRPr="4CB620AB">
        <w:rPr>
          <w:rFonts w:ascii="Arial" w:eastAsia="Arial" w:hAnsi="Arial" w:cs="Arial"/>
          <w:color w:val="auto"/>
          <w:sz w:val="20"/>
          <w:szCs w:val="20"/>
        </w:rPr>
        <w:t>certain bacteria</w:t>
      </w:r>
      <w:r w:rsidRPr="4CB620AB">
        <w:rPr>
          <w:rFonts w:ascii="Arial" w:eastAsia="Arial" w:hAnsi="Arial" w:cs="Arial"/>
          <w:color w:val="auto"/>
          <w:sz w:val="20"/>
          <w:szCs w:val="20"/>
        </w:rPr>
        <w:t xml:space="preserve"> (</w:t>
      </w:r>
      <w:r w:rsidRPr="4CB620AB">
        <w:rPr>
          <w:rStyle w:val="None"/>
          <w:rFonts w:ascii="Arial" w:eastAsia="Arial" w:hAnsi="Arial" w:cs="Arial"/>
          <w:i/>
          <w:iCs/>
          <w:color w:val="auto"/>
          <w:sz w:val="20"/>
          <w:szCs w:val="20"/>
        </w:rPr>
        <w:t>Proteus mirabilis, Klebsiella pneumonia</w:t>
      </w:r>
      <w:r w:rsidR="4929F708" w:rsidRPr="4CB620AB">
        <w:rPr>
          <w:rStyle w:val="None"/>
          <w:rFonts w:ascii="Arial" w:eastAsia="Arial" w:hAnsi="Arial" w:cs="Arial"/>
          <w:i/>
          <w:iCs/>
          <w:color w:val="auto"/>
          <w:sz w:val="20"/>
          <w:szCs w:val="20"/>
        </w:rPr>
        <w:t xml:space="preserve">e </w:t>
      </w:r>
      <w:r w:rsidR="4929F708" w:rsidRPr="4CB620AB">
        <w:rPr>
          <w:rStyle w:val="None"/>
          <w:rFonts w:ascii="Arial" w:eastAsia="Arial" w:hAnsi="Arial" w:cs="Arial"/>
          <w:color w:val="auto"/>
          <w:sz w:val="20"/>
          <w:szCs w:val="20"/>
        </w:rPr>
        <w:t>and</w:t>
      </w:r>
      <w:r w:rsidR="36D5C2ED" w:rsidRPr="4CB620AB">
        <w:rPr>
          <w:rStyle w:val="None"/>
          <w:rFonts w:ascii="Arial" w:eastAsia="Arial" w:hAnsi="Arial" w:cs="Arial"/>
          <w:color w:val="auto"/>
          <w:sz w:val="20"/>
          <w:szCs w:val="20"/>
        </w:rPr>
        <w:t xml:space="preserve"> </w:t>
      </w:r>
      <w:r w:rsidR="36D5C2ED" w:rsidRPr="4CB620AB">
        <w:rPr>
          <w:rStyle w:val="None"/>
          <w:rFonts w:ascii="Arial" w:eastAsia="Arial" w:hAnsi="Arial" w:cs="Arial"/>
          <w:i/>
          <w:iCs/>
          <w:color w:val="auto"/>
          <w:sz w:val="20"/>
          <w:szCs w:val="20"/>
        </w:rPr>
        <w:t>Providencia</w:t>
      </w:r>
      <w:r w:rsidR="36D5C2ED" w:rsidRPr="4CB620AB">
        <w:rPr>
          <w:rFonts w:ascii="Arial" w:eastAsia="Arial" w:hAnsi="Arial" w:cs="Arial"/>
          <w:color w:val="auto"/>
          <w:sz w:val="20"/>
          <w:szCs w:val="20"/>
        </w:rPr>
        <w:t xml:space="preserve"> spp</w:t>
      </w:r>
      <w:r w:rsidR="67879864" w:rsidRPr="4CB620AB">
        <w:rPr>
          <w:rFonts w:ascii="Arial" w:eastAsia="Arial" w:hAnsi="Arial" w:cs="Arial"/>
          <w:color w:val="auto"/>
          <w:sz w:val="20"/>
          <w:szCs w:val="20"/>
        </w:rPr>
        <w:t>.</w:t>
      </w:r>
      <w:r w:rsidRPr="4CB620AB">
        <w:rPr>
          <w:rFonts w:ascii="Arial" w:eastAsia="Arial" w:hAnsi="Arial" w:cs="Arial"/>
          <w:color w:val="auto"/>
          <w:sz w:val="20"/>
          <w:szCs w:val="20"/>
        </w:rPr>
        <w:t xml:space="preserve">) possess enzymes </w:t>
      </w:r>
      <w:r w:rsidR="622589BE" w:rsidRPr="4CB620AB">
        <w:rPr>
          <w:rFonts w:ascii="Arial" w:eastAsia="Arial" w:hAnsi="Arial" w:cs="Arial"/>
          <w:color w:val="auto"/>
          <w:sz w:val="20"/>
          <w:szCs w:val="20"/>
        </w:rPr>
        <w:t>such as</w:t>
      </w:r>
      <w:r w:rsidRPr="4CB620AB">
        <w:rPr>
          <w:rFonts w:ascii="Arial" w:eastAsia="Arial" w:hAnsi="Arial" w:cs="Arial"/>
          <w:color w:val="auto"/>
          <w:sz w:val="20"/>
          <w:szCs w:val="20"/>
        </w:rPr>
        <w:t xml:space="preserve"> indo</w:t>
      </w:r>
      <w:r w:rsidR="77AD6D0B" w:rsidRPr="4CB620AB">
        <w:rPr>
          <w:rFonts w:ascii="Arial" w:eastAsia="Arial" w:hAnsi="Arial" w:cs="Arial"/>
          <w:color w:val="auto"/>
          <w:sz w:val="20"/>
          <w:szCs w:val="20"/>
        </w:rPr>
        <w:t>xyl</w:t>
      </w:r>
      <w:r w:rsidRPr="4CB620AB">
        <w:rPr>
          <w:rFonts w:ascii="Arial" w:eastAsia="Arial" w:hAnsi="Arial" w:cs="Arial"/>
          <w:color w:val="auto"/>
          <w:sz w:val="20"/>
          <w:szCs w:val="20"/>
        </w:rPr>
        <w:t xml:space="preserve"> sulfatase and indo</w:t>
      </w:r>
      <w:r w:rsidR="5C1825CD" w:rsidRPr="4CB620AB">
        <w:rPr>
          <w:rFonts w:ascii="Arial" w:eastAsia="Arial" w:hAnsi="Arial" w:cs="Arial"/>
          <w:color w:val="auto"/>
          <w:sz w:val="20"/>
          <w:szCs w:val="20"/>
        </w:rPr>
        <w:t>xyl</w:t>
      </w:r>
      <w:r w:rsidRPr="4CB620AB">
        <w:rPr>
          <w:rFonts w:ascii="Arial" w:eastAsia="Arial" w:hAnsi="Arial" w:cs="Arial"/>
          <w:color w:val="auto"/>
          <w:sz w:val="20"/>
          <w:szCs w:val="20"/>
        </w:rPr>
        <w:t xml:space="preserve"> phosphatase </w:t>
      </w:r>
      <w:r w:rsidR="61317B7A" w:rsidRPr="4CB620AB">
        <w:rPr>
          <w:rFonts w:ascii="Arial" w:eastAsia="Arial" w:hAnsi="Arial" w:cs="Arial"/>
          <w:color w:val="auto"/>
          <w:sz w:val="20"/>
          <w:szCs w:val="20"/>
        </w:rPr>
        <w:t>that</w:t>
      </w:r>
      <w:r w:rsidRPr="4CB620AB">
        <w:rPr>
          <w:rFonts w:ascii="Arial" w:eastAsia="Arial" w:hAnsi="Arial" w:cs="Arial"/>
          <w:color w:val="auto"/>
          <w:sz w:val="20"/>
          <w:szCs w:val="20"/>
        </w:rPr>
        <w:t xml:space="preserve"> metabolize indo</w:t>
      </w:r>
      <w:r w:rsidR="69EF587E" w:rsidRPr="4CB620AB">
        <w:rPr>
          <w:rFonts w:ascii="Arial" w:eastAsia="Arial" w:hAnsi="Arial" w:cs="Arial"/>
          <w:color w:val="auto"/>
          <w:sz w:val="20"/>
          <w:szCs w:val="20"/>
        </w:rPr>
        <w:t>xyl</w:t>
      </w:r>
      <w:r w:rsidRPr="4CB620AB">
        <w:rPr>
          <w:rFonts w:ascii="Arial" w:eastAsia="Arial" w:hAnsi="Arial" w:cs="Arial"/>
          <w:color w:val="auto"/>
          <w:sz w:val="20"/>
          <w:szCs w:val="20"/>
        </w:rPr>
        <w:t xml:space="preserve"> sulfate</w:t>
      </w:r>
      <w:r w:rsidR="2FB6C3BC" w:rsidRPr="4CB620AB">
        <w:rPr>
          <w:rFonts w:ascii="Arial" w:eastAsia="Arial" w:hAnsi="Arial" w:cs="Arial"/>
          <w:color w:val="auto"/>
          <w:sz w:val="20"/>
          <w:szCs w:val="20"/>
        </w:rPr>
        <w:t xml:space="preserve"> to</w:t>
      </w:r>
      <w:r w:rsidR="37E32EF6" w:rsidRPr="4CB620AB">
        <w:rPr>
          <w:rFonts w:ascii="Arial" w:eastAsia="Arial" w:hAnsi="Arial" w:cs="Arial"/>
          <w:color w:val="auto"/>
          <w:sz w:val="20"/>
          <w:szCs w:val="20"/>
        </w:rPr>
        <w:t xml:space="preserve"> indoxyl, which is oxidized into</w:t>
      </w:r>
      <w:r w:rsidRPr="4CB620AB">
        <w:rPr>
          <w:rFonts w:ascii="Arial" w:eastAsia="Arial" w:hAnsi="Arial" w:cs="Arial"/>
          <w:color w:val="auto"/>
          <w:sz w:val="20"/>
          <w:szCs w:val="20"/>
        </w:rPr>
        <w:t xml:space="preserve"> indirubin (red) and indigo (blue). These substances concentrate in the drainage system and react with the synthetic materials of the catheter and urinary bag.</w:t>
      </w:r>
      <w:sdt>
        <w:sdtPr>
          <w:rPr>
            <w:rFonts w:ascii="Arial" w:eastAsia="Arial" w:hAnsi="Arial" w:cs="Arial"/>
            <w:color w:val="auto"/>
            <w:sz w:val="20"/>
            <w:szCs w:val="20"/>
            <w:vertAlign w:val="superscript"/>
          </w:rPr>
          <w:tag w:val="MENDELEY_CITATION_v3_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"/>
          <w:id w:val="414859823"/>
          <w:placeholder>
            <w:docPart w:val="DefaultPlaceholder_-1854013440"/>
          </w:placeholder>
        </w:sdtPr>
        <w:sdtEndPr/>
        <w:sdtContent>
          <w:r w:rsidR="4CB620AB" w:rsidRPr="4CB620AB">
            <w:rPr>
              <w:rFonts w:ascii="Arial" w:eastAsia="Arial" w:hAnsi="Arial" w:cs="Arial"/>
              <w:color w:val="000000" w:themeColor="text1"/>
              <w:sz w:val="20"/>
              <w:szCs w:val="20"/>
              <w:vertAlign w:val="superscript"/>
            </w:rPr>
            <w:t>2,3</w:t>
          </w:r>
        </w:sdtContent>
      </w:sdt>
    </w:p>
    <w:p w14:paraId="4A210631" w14:textId="77777777" w:rsidR="00D31E8C" w:rsidRDefault="00D31E8C" w:rsidP="2F9BF80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360" w:lineRule="auto"/>
        <w:jc w:val="both"/>
        <w:rPr>
          <w:rFonts w:ascii="Arial" w:eastAsia="Arial" w:hAnsi="Arial" w:cs="Arial"/>
          <w:color w:val="auto"/>
          <w:sz w:val="20"/>
          <w:szCs w:val="20"/>
        </w:rPr>
      </w:pPr>
    </w:p>
    <w:p w14:paraId="6FF75F0A" w14:textId="211D9724" w:rsidR="00D31E8C" w:rsidRDefault="3B872DD8" w:rsidP="083073EF">
      <w:pPr>
        <w:pStyle w:val="Default"/>
        <w:spacing w:before="0" w:line="360" w:lineRule="auto"/>
        <w:jc w:val="both"/>
        <w:rPr>
          <w:rFonts w:ascii="Arial" w:eastAsia="Arial" w:hAnsi="Arial" w:cs="Arial"/>
          <w:color w:val="FFFFFF" w:themeColor="background1"/>
          <w:sz w:val="20"/>
          <w:szCs w:val="20"/>
        </w:rPr>
      </w:pPr>
      <w:r w:rsidRPr="301AEF76">
        <w:rPr>
          <w:rFonts w:ascii="Arial" w:eastAsia="Arial" w:hAnsi="Arial" w:cs="Arial"/>
          <w:color w:val="auto"/>
          <w:sz w:val="20"/>
          <w:szCs w:val="20"/>
        </w:rPr>
        <w:t>PUBS is</w:t>
      </w:r>
      <w:r w:rsidR="7E60202F" w:rsidRPr="301AEF76">
        <w:rPr>
          <w:rFonts w:ascii="Arial" w:eastAsia="Arial" w:hAnsi="Arial" w:cs="Arial"/>
          <w:color w:val="auto"/>
          <w:sz w:val="20"/>
          <w:szCs w:val="20"/>
        </w:rPr>
        <w:t xml:space="preserve"> seen in patients with a history of </w:t>
      </w:r>
      <w:r w:rsidR="44940487" w:rsidRPr="301AEF76">
        <w:rPr>
          <w:rFonts w:ascii="Arial" w:eastAsia="Arial" w:hAnsi="Arial" w:cs="Arial"/>
          <w:color w:val="auto"/>
          <w:sz w:val="20"/>
          <w:szCs w:val="20"/>
        </w:rPr>
        <w:t>long-term</w:t>
      </w:r>
      <w:r w:rsidR="7E60202F" w:rsidRPr="301AEF76">
        <w:rPr>
          <w:rFonts w:ascii="Arial" w:eastAsia="Arial" w:hAnsi="Arial" w:cs="Arial"/>
          <w:color w:val="auto"/>
          <w:sz w:val="20"/>
          <w:szCs w:val="20"/>
        </w:rPr>
        <w:t xml:space="preserve"> indwelling urinary catheters. The main risk factors that have been described for PUBS are female gender, dementia, alkaline urine, high bacterial loads in the urine, constipation and chronic kidney disease.</w:t>
      </w:r>
      <w:sdt>
        <w:sdtPr>
          <w:rPr>
            <w:rFonts w:ascii="Arial" w:eastAsia="Arial" w:hAnsi="Arial" w:cs="Arial"/>
            <w:color w:val="auto"/>
            <w:sz w:val="20"/>
            <w:szCs w:val="20"/>
            <w:vertAlign w:val="superscript"/>
          </w:rPr>
          <w:tag w:val="MENDELEY_CITATION_v3_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"/>
          <w:id w:val="1373930196"/>
          <w:placeholder>
            <w:docPart w:val="DefaultPlaceholder_-1854013440"/>
          </w:placeholder>
        </w:sdtPr>
        <w:sdtEndPr/>
        <w:sdtContent>
          <w:r w:rsidR="4CB620AB" w:rsidRPr="301AEF76">
            <w:rPr>
              <w:rFonts w:ascii="Arial" w:eastAsia="Arial" w:hAnsi="Arial" w:cs="Arial"/>
              <w:color w:val="000000" w:themeColor="text1"/>
              <w:sz w:val="20"/>
              <w:szCs w:val="20"/>
              <w:vertAlign w:val="superscript"/>
            </w:rPr>
            <w:t>4</w:t>
          </w:r>
        </w:sdtContent>
      </w:sdt>
      <w:r w:rsidR="7E60202F" w:rsidRPr="301AEF76">
        <w:rPr>
          <w:rFonts w:ascii="Arial" w:eastAsia="Arial" w:hAnsi="Arial" w:cs="Arial"/>
          <w:color w:val="auto"/>
          <w:sz w:val="20"/>
          <w:szCs w:val="20"/>
        </w:rPr>
        <w:t xml:space="preserve"> </w:t>
      </w:r>
      <w:r w:rsidR="51C37250" w:rsidRPr="301AEF76">
        <w:rPr>
          <w:rFonts w:ascii="Arial" w:eastAsia="Arial" w:hAnsi="Arial" w:cs="Arial"/>
          <w:color w:val="auto"/>
          <w:sz w:val="20"/>
          <w:szCs w:val="20"/>
        </w:rPr>
        <w:t>Underscoring the rarity of presentations</w:t>
      </w:r>
      <w:r w:rsidR="799742C9" w:rsidRPr="301AEF76">
        <w:rPr>
          <w:rFonts w:ascii="Arial" w:eastAsia="Arial" w:hAnsi="Arial" w:cs="Arial"/>
          <w:color w:val="auto"/>
          <w:sz w:val="20"/>
          <w:szCs w:val="20"/>
        </w:rPr>
        <w:t xml:space="preserve"> </w:t>
      </w:r>
      <w:r w:rsidR="51C37250" w:rsidRPr="301AEF76">
        <w:rPr>
          <w:rFonts w:ascii="Arial" w:eastAsia="Arial" w:hAnsi="Arial" w:cs="Arial"/>
          <w:color w:val="auto"/>
          <w:sz w:val="20"/>
          <w:szCs w:val="20"/>
        </w:rPr>
        <w:t>lacking these classic factors, a systematic review of 246 patients found that males accounted for only 29.3%</w:t>
      </w:r>
      <w:r w:rsidR="010C881D" w:rsidRPr="301AEF76">
        <w:rPr>
          <w:rFonts w:ascii="Arial" w:eastAsia="Arial" w:hAnsi="Arial" w:cs="Arial"/>
          <w:color w:val="auto"/>
          <w:sz w:val="20"/>
          <w:szCs w:val="20"/>
        </w:rPr>
        <w:t xml:space="preserve"> of cases, and acidic urine was documented in just eight </w:t>
      </w:r>
      <w:r w:rsidR="3F124053" w:rsidRPr="301AEF76">
        <w:rPr>
          <w:rFonts w:ascii="Arial" w:eastAsia="Arial" w:hAnsi="Arial" w:cs="Arial"/>
          <w:color w:val="auto"/>
          <w:sz w:val="20"/>
          <w:szCs w:val="20"/>
        </w:rPr>
        <w:t>individuals. However</w:t>
      </w:r>
      <w:r w:rsidR="7E60202F" w:rsidRPr="301AEF76">
        <w:rPr>
          <w:rFonts w:ascii="Arial" w:eastAsia="Arial" w:hAnsi="Arial" w:cs="Arial"/>
          <w:color w:val="auto"/>
          <w:sz w:val="20"/>
          <w:szCs w:val="20"/>
        </w:rPr>
        <w:t>, PUBS</w:t>
      </w:r>
      <w:r w:rsidR="56301B04" w:rsidRPr="301AEF76">
        <w:rPr>
          <w:rFonts w:ascii="Arial" w:eastAsia="Arial" w:hAnsi="Arial" w:cs="Arial"/>
          <w:color w:val="auto"/>
          <w:sz w:val="20"/>
          <w:szCs w:val="20"/>
        </w:rPr>
        <w:t xml:space="preserve"> </w:t>
      </w:r>
      <w:r w:rsidR="434731D5" w:rsidRPr="301AEF76">
        <w:rPr>
          <w:rFonts w:ascii="Arial" w:eastAsia="Arial" w:hAnsi="Arial" w:cs="Arial"/>
          <w:color w:val="auto"/>
          <w:sz w:val="20"/>
          <w:szCs w:val="20"/>
        </w:rPr>
        <w:t xml:space="preserve">remains poorly characterized because most published data come from case reports and small </w:t>
      </w:r>
      <w:r w:rsidR="09D0C627" w:rsidRPr="301AEF76">
        <w:rPr>
          <w:rFonts w:ascii="Arial" w:eastAsia="Arial" w:hAnsi="Arial" w:cs="Arial"/>
          <w:color w:val="auto"/>
          <w:sz w:val="20"/>
          <w:szCs w:val="20"/>
        </w:rPr>
        <w:t>retrospective</w:t>
      </w:r>
      <w:r w:rsidR="434731D5" w:rsidRPr="301AEF76">
        <w:rPr>
          <w:rFonts w:ascii="Arial" w:eastAsia="Arial" w:hAnsi="Arial" w:cs="Arial"/>
          <w:color w:val="auto"/>
          <w:sz w:val="20"/>
          <w:szCs w:val="20"/>
        </w:rPr>
        <w:t xml:space="preserve"> studies.</w:t>
      </w:r>
      <w:sdt>
        <w:sdtPr>
          <w:rPr>
            <w:rFonts w:ascii="Arial" w:eastAsia="Arial" w:hAnsi="Arial" w:cs="Arial"/>
            <w:color w:val="auto"/>
            <w:sz w:val="20"/>
            <w:szCs w:val="20"/>
            <w:vertAlign w:val="superscript"/>
          </w:rPr>
          <w:tag w:val="MENDELEY_CITATION_v3_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"/>
          <w:id w:val="1222660029"/>
          <w:placeholder>
            <w:docPart w:val="DefaultPlaceholder_-1854013440"/>
          </w:placeholder>
        </w:sdtPr>
        <w:sdtEndPr/>
        <w:sdtContent>
          <w:r w:rsidR="4CB620AB" w:rsidRPr="301AEF76">
            <w:rPr>
              <w:rFonts w:ascii="Arial" w:eastAsia="Arial" w:hAnsi="Arial" w:cs="Arial"/>
              <w:color w:val="000000" w:themeColor="text1"/>
              <w:sz w:val="20"/>
              <w:szCs w:val="20"/>
              <w:vertAlign w:val="superscript"/>
            </w:rPr>
            <w:t>5</w:t>
          </w:r>
        </w:sdtContent>
      </w:sdt>
      <w:r w:rsidR="7E60202F" w:rsidRPr="301AEF76">
        <w:rPr>
          <w:rFonts w:ascii="Arial" w:eastAsia="Arial" w:hAnsi="Arial" w:cs="Arial"/>
          <w:color w:val="auto"/>
          <w:sz w:val="20"/>
          <w:szCs w:val="20"/>
        </w:rPr>
        <w:t xml:space="preserve">  </w:t>
      </w:r>
      <w:r w:rsidR="0FC8D61E" w:rsidRPr="301AEF76">
        <w:rPr>
          <w:rFonts w:ascii="Arial" w:eastAsia="Arial" w:hAnsi="Arial" w:cs="Arial"/>
          <w:color w:val="auto"/>
          <w:sz w:val="20"/>
          <w:szCs w:val="20"/>
        </w:rPr>
        <w:t xml:space="preserve"> PUBS is rarely reported in acidic urine because the oxidative conversion of indoxyl to indigo and indirubin is inhibited at low pH. Increased proton concentration shifts the redox environment against indoxyl oxidation</w:t>
      </w:r>
      <w:r w:rsidR="31E7ECE0" w:rsidRPr="301AEF76">
        <w:rPr>
          <w:rFonts w:ascii="Arial" w:eastAsia="Arial" w:hAnsi="Arial" w:cs="Arial"/>
          <w:color w:val="auto"/>
          <w:sz w:val="20"/>
          <w:szCs w:val="20"/>
        </w:rPr>
        <w:t>.</w:t>
      </w:r>
      <w:r w:rsidR="1D04B974" w:rsidRPr="301AEF76">
        <w:rPr>
          <w:rFonts w:ascii="Arial" w:eastAsia="Arial" w:hAnsi="Arial" w:cs="Arial"/>
          <w:color w:val="auto"/>
          <w:sz w:val="20"/>
          <w:szCs w:val="20"/>
        </w:rPr>
        <w:t xml:space="preserve"> </w:t>
      </w:r>
      <w:r w:rsidR="7E60202F" w:rsidRPr="301AEF76">
        <w:rPr>
          <w:rFonts w:ascii="Arial" w:eastAsia="Arial" w:hAnsi="Arial" w:cs="Arial"/>
          <w:color w:val="auto"/>
          <w:sz w:val="20"/>
          <w:szCs w:val="20"/>
        </w:rPr>
        <w:t xml:space="preserve">The objective of this case report is to describe a rare instance of PUBS in a male patient from El Salvador with acidic urine and without a history of constipation. </w:t>
      </w:r>
      <w:r w:rsidR="11E807DD" w:rsidRPr="301AEF76">
        <w:rPr>
          <w:rFonts w:ascii="Arial" w:eastAsia="Arial" w:hAnsi="Arial" w:cs="Arial"/>
          <w:color w:val="auto"/>
          <w:sz w:val="20"/>
          <w:szCs w:val="20"/>
        </w:rPr>
        <w:t xml:space="preserve">This atypical presentation highlights the necessity of clinical vigilance regardless of </w:t>
      </w:r>
      <w:r w:rsidR="20DF63E0" w:rsidRPr="301AEF76">
        <w:rPr>
          <w:rFonts w:ascii="Arial" w:eastAsia="Arial" w:hAnsi="Arial" w:cs="Arial"/>
          <w:color w:val="auto"/>
          <w:sz w:val="20"/>
          <w:szCs w:val="20"/>
        </w:rPr>
        <w:t>risk factors</w:t>
      </w:r>
      <w:r w:rsidR="11E807DD" w:rsidRPr="301AEF76">
        <w:rPr>
          <w:rFonts w:ascii="Arial" w:eastAsia="Arial" w:hAnsi="Arial" w:cs="Arial"/>
          <w:color w:val="auto"/>
          <w:sz w:val="20"/>
          <w:szCs w:val="20"/>
        </w:rPr>
        <w:t xml:space="preserve">. Purple urine discoloration is a visual manifestation of bacterial metabolic activity within the urinary tract. While this phenomenon is frequently associated with asymptomatic colonization, its presence in symptomatic individuals should prompt immediate investigation. In this case, the initial misattribution of the discoloration to beet consumption led to a diagnostic delay. </w:t>
      </w:r>
      <w:r w:rsidR="672562C9" w:rsidRPr="301AEF76">
        <w:rPr>
          <w:rFonts w:ascii="Arial" w:eastAsia="Arial" w:hAnsi="Arial" w:cs="Arial"/>
          <w:color w:val="auto"/>
          <w:sz w:val="20"/>
          <w:szCs w:val="20"/>
        </w:rPr>
        <w:t xml:space="preserve"> To </w:t>
      </w:r>
      <w:r w:rsidR="424C4CAB" w:rsidRPr="301AEF76">
        <w:rPr>
          <w:rFonts w:ascii="Arial" w:eastAsia="Arial" w:hAnsi="Arial" w:cs="Arial"/>
          <w:color w:val="auto"/>
          <w:sz w:val="20"/>
          <w:szCs w:val="20"/>
        </w:rPr>
        <w:t xml:space="preserve">the best of </w:t>
      </w:r>
      <w:r w:rsidR="672562C9" w:rsidRPr="301AEF76">
        <w:rPr>
          <w:rFonts w:ascii="Arial" w:eastAsia="Arial" w:hAnsi="Arial" w:cs="Arial"/>
          <w:color w:val="auto"/>
          <w:sz w:val="20"/>
          <w:szCs w:val="20"/>
        </w:rPr>
        <w:t>our knowledge, this represents the first published case report of PUBS from El Salvador.</w:t>
      </w:r>
    </w:p>
    <w:p w14:paraId="23E8E274" w14:textId="27611D67" w:rsidR="00D31E8C" w:rsidRDefault="00D31E8C" w:rsidP="083073EF">
      <w:pPr>
        <w:pStyle w:val="Body1"/>
        <w:spacing w:line="360" w:lineRule="auto"/>
        <w:jc w:val="both"/>
        <w:rPr>
          <w:rFonts w:ascii="Arial" w:eastAsia="Arial" w:hAnsi="Arial" w:cs="Arial"/>
          <w:color w:val="auto"/>
          <w:sz w:val="20"/>
          <w:szCs w:val="20"/>
        </w:rPr>
      </w:pPr>
    </w:p>
    <w:p w14:paraId="7DD36983" w14:textId="54A96695" w:rsidR="00D31E8C" w:rsidRDefault="00D31E8C" w:rsidP="301AEF76">
      <w:pPr>
        <w:pStyle w:val="Body1"/>
        <w:spacing w:line="360" w:lineRule="auto"/>
        <w:jc w:val="both"/>
        <w:rPr>
          <w:rFonts w:ascii="Noto Sans" w:eastAsia="Noto Sans" w:hAnsi="Noto Sans" w:cs="Noto Sans"/>
          <w:sz w:val="21"/>
          <w:szCs w:val="21"/>
        </w:rPr>
      </w:pPr>
    </w:p>
    <w:p w14:paraId="3283B82F" w14:textId="77777777" w:rsidR="00D31E8C" w:rsidRDefault="00D31E8C" w:rsidP="083073EF">
      <w:pPr>
        <w:pStyle w:val="Body"/>
        <w:spacing w:line="360" w:lineRule="auto"/>
        <w:jc w:val="both"/>
        <w:rPr>
          <w:rStyle w:val="None"/>
          <w:rFonts w:ascii="Arial" w:eastAsia="Arial" w:hAnsi="Arial" w:cs="Arial"/>
          <w:i/>
          <w:iCs/>
          <w:sz w:val="20"/>
          <w:szCs w:val="20"/>
        </w:rPr>
      </w:pPr>
      <w:bookmarkStart w:id="2" w:name="_Hlk41332386"/>
    </w:p>
    <w:p w14:paraId="023DB26D" w14:textId="77777777" w:rsidR="00D31E8C" w:rsidRDefault="00D31E8C">
      <w:pPr>
        <w:pStyle w:val="Body"/>
        <w:spacing w:line="360" w:lineRule="auto"/>
        <w:jc w:val="both"/>
        <w:rPr>
          <w:rStyle w:val="None"/>
          <w:rFonts w:ascii="Arial" w:eastAsia="Arial" w:hAnsi="Arial" w:cs="Arial"/>
          <w:sz w:val="20"/>
          <w:szCs w:val="20"/>
        </w:rPr>
      </w:pPr>
    </w:p>
    <w:bookmarkEnd w:id="2"/>
    <w:p w14:paraId="13F2C0CA" w14:textId="77777777" w:rsidR="00D31E8C" w:rsidRDefault="00CD2D46" w:rsidP="2F9BF80F">
      <w:pPr>
        <w:pStyle w:val="Body"/>
        <w:spacing w:line="360" w:lineRule="auto"/>
        <w:jc w:val="both"/>
        <w:rPr>
          <w:rFonts w:ascii="Arial" w:eastAsia="Arial" w:hAnsi="Arial" w:cs="Arial"/>
          <w:sz w:val="20"/>
          <w:szCs w:val="20"/>
        </w:rPr>
      </w:pPr>
      <w:r w:rsidRPr="083073EF">
        <w:rPr>
          <w:rStyle w:val="None"/>
          <w:rFonts w:ascii="Arial" w:eastAsia="Arial" w:hAnsi="Arial" w:cs="Arial"/>
          <w:sz w:val="20"/>
          <w:szCs w:val="20"/>
        </w:rPr>
        <w:br w:type="page"/>
      </w:r>
    </w:p>
    <w:p w14:paraId="62DAB9E8" w14:textId="77777777" w:rsidR="00D31E8C" w:rsidRDefault="4328195F" w:rsidP="2F9BF80F">
      <w:pPr>
        <w:pStyle w:val="Body"/>
        <w:spacing w:line="360" w:lineRule="auto"/>
        <w:jc w:val="both"/>
        <w:rPr>
          <w:rStyle w:val="None"/>
          <w:rFonts w:ascii="Arial" w:eastAsia="Arial" w:hAnsi="Arial" w:cs="Arial"/>
          <w:b/>
          <w:bCs/>
          <w:color w:val="auto"/>
          <w:sz w:val="20"/>
          <w:szCs w:val="20"/>
          <w:shd w:val="clear" w:color="auto" w:fill="FFFFFF"/>
        </w:rPr>
      </w:pPr>
      <w:r w:rsidRPr="2F9BF80F">
        <w:rPr>
          <w:rStyle w:val="None"/>
          <w:rFonts w:ascii="Arial" w:eastAsia="Arial" w:hAnsi="Arial" w:cs="Arial"/>
          <w:b/>
          <w:bCs/>
          <w:color w:val="auto"/>
          <w:sz w:val="20"/>
          <w:szCs w:val="20"/>
          <w:shd w:val="clear" w:color="auto" w:fill="FFFFFF"/>
        </w:rPr>
        <w:lastRenderedPageBreak/>
        <w:t>THE CASE</w:t>
      </w:r>
    </w:p>
    <w:p w14:paraId="7C1AF6C8" w14:textId="77777777" w:rsidR="00D31E8C" w:rsidRDefault="4328195F" w:rsidP="2F9BF80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Arial" w:eastAsia="Arial" w:hAnsi="Arial" w:cs="Arial"/>
          <w:b/>
          <w:bCs/>
          <w:color w:val="auto"/>
          <w:sz w:val="20"/>
          <w:szCs w:val="20"/>
        </w:rPr>
      </w:pPr>
      <w:r w:rsidRPr="083073EF">
        <w:rPr>
          <w:rFonts w:ascii="Arial" w:eastAsia="Arial" w:hAnsi="Arial" w:cs="Arial"/>
          <w:b/>
          <w:bCs/>
          <w:color w:val="auto"/>
          <w:sz w:val="20"/>
          <w:szCs w:val="20"/>
        </w:rPr>
        <w:t>Patient background</w:t>
      </w:r>
    </w:p>
    <w:p w14:paraId="499D68D1" w14:textId="342AA36E" w:rsidR="00D31E8C" w:rsidRDefault="01B3C2BD" w:rsidP="083073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240" w:line="360" w:lineRule="auto"/>
        <w:jc w:val="both"/>
        <w:rPr>
          <w:rFonts w:ascii="Arial" w:eastAsia="Arial" w:hAnsi="Arial" w:cs="Arial"/>
          <w:color w:val="000000" w:themeColor="text1"/>
          <w:sz w:val="20"/>
          <w:szCs w:val="20"/>
        </w:rPr>
      </w:pPr>
      <w:r w:rsidRPr="083073EF">
        <w:rPr>
          <w:rFonts w:ascii="Arial" w:eastAsia="Arial" w:hAnsi="Arial" w:cs="Arial"/>
          <w:sz w:val="20"/>
          <w:szCs w:val="20"/>
        </w:rPr>
        <w:t xml:space="preserve">A 76-year-old man, living in a poor rural setting, presented to the outpatient clinic for a scheduled urinary catheter change. His past medical history included hypertension treated with valsartan 320 mg and amlodipine 10 mg once daily, atrial fibrillation managed with bisoprolol 5 mg once </w:t>
      </w:r>
      <w:r w:rsidR="7AAE3441" w:rsidRPr="083073EF">
        <w:rPr>
          <w:rFonts w:ascii="Arial" w:eastAsia="Arial" w:hAnsi="Arial" w:cs="Arial"/>
          <w:sz w:val="20"/>
          <w:szCs w:val="20"/>
        </w:rPr>
        <w:t>daily and</w:t>
      </w:r>
      <w:r w:rsidRPr="083073EF">
        <w:rPr>
          <w:rFonts w:ascii="Arial" w:eastAsia="Arial" w:hAnsi="Arial" w:cs="Arial"/>
          <w:sz w:val="20"/>
          <w:szCs w:val="20"/>
        </w:rPr>
        <w:t xml:space="preserve"> benign prostatic hyperplasia. He had been lost to urology follow-up due to fear of surgical intervention and had therefore been maintained on long-term indwelling urinary catheterization for approximately two years. The </w:t>
      </w:r>
      <w:r w:rsidR="2F68A72D" w:rsidRPr="083073EF">
        <w:rPr>
          <w:rFonts w:ascii="Arial" w:eastAsia="Arial" w:hAnsi="Arial" w:cs="Arial"/>
          <w:sz w:val="20"/>
          <w:szCs w:val="20"/>
        </w:rPr>
        <w:t>catheter was</w:t>
      </w:r>
      <w:r w:rsidRPr="083073EF">
        <w:rPr>
          <w:rFonts w:ascii="Arial" w:eastAsia="Arial" w:hAnsi="Arial" w:cs="Arial"/>
          <w:sz w:val="20"/>
          <w:szCs w:val="20"/>
        </w:rPr>
        <w:t xml:space="preserve"> routinely changed every 15 days. </w:t>
      </w:r>
      <w:r w:rsidR="30E09437" w:rsidRPr="083073EF">
        <w:rPr>
          <w:rFonts w:ascii="Arial" w:eastAsia="Arial" w:hAnsi="Arial" w:cs="Arial"/>
          <w:sz w:val="20"/>
          <w:szCs w:val="20"/>
        </w:rPr>
        <w:t xml:space="preserve"> He reported no allergies or relevant family history.</w:t>
      </w:r>
    </w:p>
    <w:p w14:paraId="6B9C97A5" w14:textId="5A88C718" w:rsidR="00D31E8C" w:rsidRDefault="4ABE9C83" w:rsidP="083073EF">
      <w:pPr>
        <w:spacing w:before="240" w:after="240" w:line="360" w:lineRule="auto"/>
        <w:jc w:val="both"/>
        <w:rPr>
          <w:rFonts w:ascii="Arial" w:eastAsia="Arial" w:hAnsi="Arial" w:cs="Arial"/>
          <w:color w:val="000000" w:themeColor="text1"/>
          <w:sz w:val="20"/>
          <w:szCs w:val="20"/>
        </w:rPr>
      </w:pPr>
      <w:r w:rsidRPr="083073EF">
        <w:rPr>
          <w:rFonts w:ascii="Arial" w:eastAsia="Arial" w:hAnsi="Arial" w:cs="Arial"/>
          <w:sz w:val="20"/>
          <w:szCs w:val="20"/>
        </w:rPr>
        <w:t>Over the preceding 15 months, his urine appeared normal at the time of catheter exchange, with discoloration developing several days later.</w:t>
      </w:r>
      <w:r w:rsidR="01B3C2BD" w:rsidRPr="083073EF">
        <w:rPr>
          <w:rFonts w:ascii="Arial" w:eastAsia="Arial" w:hAnsi="Arial" w:cs="Arial"/>
          <w:sz w:val="20"/>
          <w:szCs w:val="20"/>
        </w:rPr>
        <w:t xml:space="preserve"> During the same period, he experienced mild, constant, non-radiating suprapubic pain described as a burning sensation predominantly associated with the urge to void. Symptoms were temporally related to catheter exchanges. He denied fever, flank pain, constipation, nausea, vomiting, or other associated symptoms. No further evaluation had been pursued previously, as the discoloration had been attributed to dietary beet consumption.</w:t>
      </w:r>
    </w:p>
    <w:p w14:paraId="53AB1FCB" w14:textId="71F0AF93" w:rsidR="00D31E8C" w:rsidRDefault="4328195F" w:rsidP="2F9BF80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Arial" w:eastAsia="Arial" w:hAnsi="Arial" w:cs="Arial"/>
          <w:b/>
          <w:bCs/>
          <w:color w:val="auto"/>
          <w:sz w:val="20"/>
          <w:szCs w:val="20"/>
        </w:rPr>
      </w:pPr>
      <w:r w:rsidRPr="083073EF">
        <w:rPr>
          <w:rFonts w:ascii="Arial" w:eastAsia="Arial" w:hAnsi="Arial" w:cs="Arial"/>
          <w:b/>
          <w:bCs/>
          <w:color w:val="auto"/>
          <w:sz w:val="20"/>
          <w:szCs w:val="20"/>
        </w:rPr>
        <w:t xml:space="preserve">Clinical examination </w:t>
      </w:r>
    </w:p>
    <w:p w14:paraId="70D7C07D" w14:textId="279AB619" w:rsidR="103AE692" w:rsidRDefault="1C21D611" w:rsidP="083073E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Arial" w:eastAsia="Arial" w:hAnsi="Arial" w:cs="Arial"/>
          <w:color w:val="000000" w:themeColor="text1"/>
          <w:sz w:val="20"/>
          <w:szCs w:val="20"/>
        </w:rPr>
      </w:pPr>
      <w:r w:rsidRPr="301AEF76">
        <w:rPr>
          <w:rFonts w:ascii="Arial" w:eastAsia="Arial" w:hAnsi="Arial" w:cs="Arial"/>
          <w:color w:val="000000" w:themeColor="text1"/>
          <w:sz w:val="20"/>
          <w:szCs w:val="20"/>
        </w:rPr>
        <w:t>On physical examination, the patient was afebrile with normal vital signs: blood pressure: 120/80 mmHg, temperature: 37.0°C, oxygen saturation: 98% on room air, respiratory rate: 17 breaths/min, and heart rate: 70 beats/min. The abdomen was flat with normal bowel sounds, but tender to palpation in the suprapubic region. There was no costovertebral angle tenderness. The urine collection bag and catheter showed purple discoloration (Figure 1).</w:t>
      </w:r>
    </w:p>
    <w:p w14:paraId="630533B8" w14:textId="63DC7C87" w:rsidR="301AEF76" w:rsidRDefault="301AEF76" w:rsidP="301AEF7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Arial" w:eastAsia="Arial" w:hAnsi="Arial" w:cs="Arial"/>
          <w:color w:val="000000" w:themeColor="text1"/>
          <w:sz w:val="20"/>
          <w:szCs w:val="20"/>
        </w:rPr>
      </w:pPr>
    </w:p>
    <w:p w14:paraId="1EA037DB" w14:textId="6788D0C5" w:rsidR="00D31E8C" w:rsidRDefault="0B4BD4A6" w:rsidP="2F9BF80F">
      <w:pPr>
        <w:spacing w:line="360" w:lineRule="auto"/>
        <w:jc w:val="both"/>
        <w:rPr>
          <w:rFonts w:ascii="Arial" w:eastAsia="Arial" w:hAnsi="Arial" w:cs="Arial"/>
          <w:b/>
          <w:bCs/>
          <w:sz w:val="20"/>
          <w:szCs w:val="20"/>
        </w:rPr>
      </w:pPr>
      <w:r w:rsidRPr="083073EF">
        <w:rPr>
          <w:rFonts w:ascii="Arial" w:eastAsia="Arial" w:hAnsi="Arial" w:cs="Arial"/>
          <w:b/>
          <w:bCs/>
          <w:sz w:val="20"/>
          <w:szCs w:val="20"/>
        </w:rPr>
        <w:t>Timeline</w:t>
      </w:r>
    </w:p>
    <w:p w14:paraId="66EF976B" w14:textId="76880358" w:rsidR="00D31E8C" w:rsidRDefault="0B4BD4A6" w:rsidP="2F9BF80F">
      <w:pPr>
        <w:spacing w:line="360" w:lineRule="auto"/>
        <w:jc w:val="both"/>
        <w:rPr>
          <w:rFonts w:ascii="Arial" w:eastAsia="Arial" w:hAnsi="Arial" w:cs="Arial"/>
          <w:sz w:val="20"/>
          <w:szCs w:val="20"/>
        </w:rPr>
      </w:pPr>
      <w:r w:rsidRPr="301AEF76">
        <w:rPr>
          <w:rFonts w:ascii="Arial" w:eastAsia="Arial" w:hAnsi="Arial" w:cs="Arial"/>
          <w:sz w:val="20"/>
          <w:szCs w:val="20"/>
        </w:rPr>
        <w:t>Symptom onset: Following routine catheter exchanges, purple discoloration of the urine collection system repeatedly appeared over ~15 months, accompanied by mild suprapubic burning pain .</w:t>
      </w:r>
      <w:r w:rsidR="00D31E8C">
        <w:br/>
      </w:r>
      <w:r w:rsidRPr="301AEF76">
        <w:rPr>
          <w:rFonts w:ascii="Arial" w:eastAsia="Arial" w:hAnsi="Arial" w:cs="Arial"/>
          <w:sz w:val="20"/>
          <w:szCs w:val="20"/>
        </w:rPr>
        <w:t xml:space="preserve">Presentation: The patient </w:t>
      </w:r>
      <w:bookmarkStart w:id="3" w:name="_Int_6m1gM7gu"/>
      <w:r w:rsidRPr="301AEF76">
        <w:rPr>
          <w:rFonts w:ascii="Arial" w:eastAsia="Arial" w:hAnsi="Arial" w:cs="Arial"/>
          <w:sz w:val="20"/>
          <w:szCs w:val="20"/>
        </w:rPr>
        <w:t>presented for</w:t>
      </w:r>
      <w:bookmarkEnd w:id="3"/>
      <w:r w:rsidRPr="301AEF76">
        <w:rPr>
          <w:rFonts w:ascii="Arial" w:eastAsia="Arial" w:hAnsi="Arial" w:cs="Arial"/>
          <w:sz w:val="20"/>
          <w:szCs w:val="20"/>
        </w:rPr>
        <w:t xml:space="preserve"> a scheduled catheter change with concurrent urinary symptoms and visible purple discoloration of the catheter and drainage bag.</w:t>
      </w:r>
      <w:r w:rsidR="00D31E8C">
        <w:br/>
      </w:r>
      <w:r w:rsidRPr="301AEF76">
        <w:rPr>
          <w:rFonts w:ascii="Arial" w:eastAsia="Arial" w:hAnsi="Arial" w:cs="Arial"/>
          <w:sz w:val="20"/>
          <w:szCs w:val="20"/>
        </w:rPr>
        <w:t>Initial treatment: Empiric outpatient antibiotic therapy and symptomatic treatment were initiated while diagnostic testing was pending.</w:t>
      </w:r>
      <w:r w:rsidR="00D31E8C">
        <w:br/>
      </w:r>
      <w:r w:rsidRPr="301AEF76">
        <w:rPr>
          <w:rFonts w:ascii="Arial" w:eastAsia="Arial" w:hAnsi="Arial" w:cs="Arial"/>
          <w:sz w:val="20"/>
          <w:szCs w:val="20"/>
        </w:rPr>
        <w:t xml:space="preserve">Follow-up 1: Seven days after the initial visit, the patient returned to review urine culture and susceptibility results; antimicrobial therapy was adjusted based on the antibiogram. </w:t>
      </w:r>
      <w:bookmarkStart w:id="4" w:name="_Int_jfclFybu"/>
      <w:r w:rsidR="4F467455" w:rsidRPr="301AEF76">
        <w:rPr>
          <w:rFonts w:ascii="Arial" w:eastAsia="Arial" w:hAnsi="Arial" w:cs="Arial"/>
          <w:sz w:val="20"/>
          <w:szCs w:val="20"/>
        </w:rPr>
        <w:t>At</w:t>
      </w:r>
      <w:bookmarkEnd w:id="4"/>
      <w:r w:rsidR="4F467455" w:rsidRPr="301AEF76">
        <w:rPr>
          <w:rFonts w:ascii="Arial" w:eastAsia="Arial" w:hAnsi="Arial" w:cs="Arial"/>
          <w:sz w:val="20"/>
          <w:szCs w:val="20"/>
        </w:rPr>
        <w:t xml:space="preserve"> this visit, purple discoloration was absent.</w:t>
      </w:r>
      <w:r w:rsidR="00D31E8C">
        <w:br/>
      </w:r>
      <w:r w:rsidRPr="301AEF76">
        <w:rPr>
          <w:rFonts w:ascii="Arial" w:eastAsia="Arial" w:hAnsi="Arial" w:cs="Arial"/>
          <w:sz w:val="20"/>
          <w:szCs w:val="20"/>
        </w:rPr>
        <w:t>Follow-up 2: Fourteen days after the initial visit, repeat urinalysis and a post-</w:t>
      </w:r>
      <w:bookmarkStart w:id="5" w:name="_Int_c9pKYX69"/>
      <w:r w:rsidRPr="301AEF76">
        <w:rPr>
          <w:rFonts w:ascii="Arial" w:eastAsia="Arial" w:hAnsi="Arial" w:cs="Arial"/>
          <w:sz w:val="20"/>
          <w:szCs w:val="20"/>
        </w:rPr>
        <w:t>treatment</w:t>
      </w:r>
      <w:bookmarkEnd w:id="5"/>
      <w:r w:rsidRPr="301AEF76">
        <w:rPr>
          <w:rFonts w:ascii="Arial" w:eastAsia="Arial" w:hAnsi="Arial" w:cs="Arial"/>
          <w:sz w:val="20"/>
          <w:szCs w:val="20"/>
        </w:rPr>
        <w:t xml:space="preserve"> urine culture were </w:t>
      </w:r>
      <w:r w:rsidR="0D0583E3" w:rsidRPr="301AEF76">
        <w:rPr>
          <w:rFonts w:ascii="Arial" w:eastAsia="Arial" w:hAnsi="Arial" w:cs="Arial"/>
          <w:sz w:val="20"/>
          <w:szCs w:val="20"/>
        </w:rPr>
        <w:t>done</w:t>
      </w:r>
      <w:r w:rsidRPr="301AEF76">
        <w:rPr>
          <w:rFonts w:ascii="Arial" w:eastAsia="Arial" w:hAnsi="Arial" w:cs="Arial"/>
          <w:sz w:val="20"/>
          <w:szCs w:val="20"/>
        </w:rPr>
        <w:t xml:space="preserve"> and were negative, confirming resolution of infection.</w:t>
      </w:r>
    </w:p>
    <w:p w14:paraId="1B667145" w14:textId="7F1324F0" w:rsidR="301AEF76" w:rsidRDefault="301AEF76" w:rsidP="301AEF76">
      <w:pPr>
        <w:pStyle w:val="Default"/>
        <w:spacing w:line="360" w:lineRule="auto"/>
        <w:jc w:val="both"/>
        <w:rPr>
          <w:rFonts w:ascii="Arial" w:eastAsia="Arial" w:hAnsi="Arial" w:cs="Arial"/>
          <w:b/>
          <w:bCs/>
          <w:color w:val="auto"/>
          <w:sz w:val="20"/>
          <w:szCs w:val="20"/>
        </w:rPr>
      </w:pPr>
    </w:p>
    <w:p w14:paraId="77744947" w14:textId="394ECBCC" w:rsidR="301AEF76" w:rsidRDefault="301AEF76" w:rsidP="301AEF76">
      <w:pPr>
        <w:pStyle w:val="Default"/>
        <w:spacing w:line="360" w:lineRule="auto"/>
        <w:jc w:val="both"/>
        <w:rPr>
          <w:rFonts w:ascii="Arial" w:eastAsia="Arial" w:hAnsi="Arial" w:cs="Arial"/>
          <w:b/>
          <w:bCs/>
          <w:color w:val="auto"/>
          <w:sz w:val="20"/>
          <w:szCs w:val="20"/>
        </w:rPr>
      </w:pPr>
    </w:p>
    <w:p w14:paraId="172C22E5" w14:textId="154E9D81" w:rsidR="301AEF76" w:rsidRDefault="301AEF76" w:rsidP="301AEF76">
      <w:pPr>
        <w:pStyle w:val="Default"/>
        <w:spacing w:line="360" w:lineRule="auto"/>
        <w:jc w:val="both"/>
        <w:rPr>
          <w:rFonts w:ascii="Arial" w:eastAsia="Arial" w:hAnsi="Arial" w:cs="Arial"/>
          <w:b/>
          <w:bCs/>
          <w:color w:val="auto"/>
          <w:sz w:val="20"/>
          <w:szCs w:val="20"/>
        </w:rPr>
      </w:pPr>
    </w:p>
    <w:p w14:paraId="76753D15" w14:textId="67742165" w:rsidR="301AEF76" w:rsidRDefault="301AEF76" w:rsidP="301AEF76">
      <w:pPr>
        <w:pStyle w:val="Default"/>
        <w:spacing w:line="360" w:lineRule="auto"/>
        <w:jc w:val="both"/>
        <w:rPr>
          <w:rFonts w:ascii="Arial" w:eastAsia="Arial" w:hAnsi="Arial" w:cs="Arial"/>
          <w:b/>
          <w:bCs/>
          <w:color w:val="auto"/>
          <w:sz w:val="20"/>
          <w:szCs w:val="20"/>
        </w:rPr>
      </w:pPr>
    </w:p>
    <w:p w14:paraId="3B50B37D" w14:textId="2C760B2E" w:rsidR="301AEF76" w:rsidRDefault="301AEF76" w:rsidP="301AEF76">
      <w:pPr>
        <w:pStyle w:val="Default"/>
        <w:spacing w:line="360" w:lineRule="auto"/>
        <w:jc w:val="both"/>
        <w:rPr>
          <w:rFonts w:ascii="Arial" w:eastAsia="Arial" w:hAnsi="Arial" w:cs="Arial"/>
          <w:b/>
          <w:bCs/>
          <w:color w:val="auto"/>
          <w:sz w:val="20"/>
          <w:szCs w:val="20"/>
        </w:rPr>
      </w:pPr>
    </w:p>
    <w:p w14:paraId="1090DA90" w14:textId="74C07EAF" w:rsidR="00D31E8C" w:rsidRDefault="4328195F" w:rsidP="301AEF76">
      <w:pPr>
        <w:pStyle w:val="Default"/>
        <w:spacing w:before="0" w:line="360" w:lineRule="auto"/>
        <w:jc w:val="both"/>
        <w:rPr>
          <w:rFonts w:ascii="Arial" w:eastAsia="Arial" w:hAnsi="Arial" w:cs="Arial"/>
          <w:b/>
          <w:bCs/>
          <w:color w:val="auto"/>
          <w:sz w:val="20"/>
          <w:szCs w:val="20"/>
        </w:rPr>
      </w:pPr>
      <w:r w:rsidRPr="301AEF76">
        <w:rPr>
          <w:rFonts w:ascii="Arial" w:eastAsia="Arial" w:hAnsi="Arial" w:cs="Arial"/>
          <w:b/>
          <w:bCs/>
          <w:color w:val="auto"/>
          <w:sz w:val="20"/>
          <w:szCs w:val="20"/>
        </w:rPr>
        <w:t>Laboratory findings</w:t>
      </w:r>
    </w:p>
    <w:p w14:paraId="45DCCEE9" w14:textId="6E2FBE35" w:rsidR="2F9BF80F" w:rsidRDefault="0E7C92B7" w:rsidP="301AEF7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Arial" w:eastAsia="Arial" w:hAnsi="Arial" w:cs="Arial"/>
          <w:color w:val="000000" w:themeColor="text1"/>
          <w:sz w:val="20"/>
          <w:szCs w:val="20"/>
        </w:rPr>
      </w:pPr>
      <w:r w:rsidRPr="301AEF76">
        <w:rPr>
          <w:rFonts w:ascii="Arial" w:eastAsia="Arial" w:hAnsi="Arial" w:cs="Arial"/>
          <w:color w:val="000000" w:themeColor="text1"/>
          <w:sz w:val="20"/>
          <w:szCs w:val="20"/>
        </w:rPr>
        <w:t>Laboratory findings were as follows: leukocytes: 7,740/mm³, hemoglobin: 14 g/dL, platelets: 293,000/mm³, creatinine: 0.77 mg/dL, eGFR: 88.15 mL/min/1.73 m², blood urea nitrogen: 13.7 mg/dL, sodium: 140.9 mEq/L, potassium: 3.9 mEq/L, and glucose: 99.9 mg/dL.</w:t>
      </w:r>
    </w:p>
    <w:p w14:paraId="455708A8" w14:textId="3AF04917" w:rsidR="7C36BD9E" w:rsidRDefault="7C36BD9E" w:rsidP="083073E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Arial" w:eastAsia="Arial" w:hAnsi="Arial" w:cs="Arial"/>
          <w:color w:val="auto"/>
          <w:sz w:val="20"/>
          <w:szCs w:val="20"/>
        </w:rPr>
      </w:pPr>
      <w:r w:rsidRPr="083073EF">
        <w:rPr>
          <w:rFonts w:ascii="Arial" w:eastAsia="Arial" w:hAnsi="Arial" w:cs="Arial"/>
          <w:color w:val="auto"/>
          <w:sz w:val="20"/>
          <w:szCs w:val="20"/>
        </w:rPr>
        <w:t>Urinalysis revealed turbid urine with positive leukocyte esterase (500 cells/µL), microscopic hematuria (37.9 RBCs/HPF), marked pyuria (78.7 WBCs/HPF), leukocyte clumps (10/HPF), and moderate bacteriuria. Nitrites were negative. Mild proteinuria was detected (30 mg/dL), with an elevated albumin-to-creatinine ratio (≥300 mg/g). No casts, crystals, yeast, or renal tubular epithelial cells were observed. Urine pH was 6.0 and specific gravity was 1.011.</w:t>
      </w:r>
    </w:p>
    <w:p w14:paraId="6D2BEFBF" w14:textId="449A1D72" w:rsidR="2F9BF80F" w:rsidRDefault="2F9BF80F" w:rsidP="2F9BF80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Arial" w:eastAsia="Arial" w:hAnsi="Arial" w:cs="Arial"/>
          <w:color w:val="auto"/>
          <w:sz w:val="20"/>
          <w:szCs w:val="20"/>
        </w:rPr>
      </w:pPr>
    </w:p>
    <w:p w14:paraId="082BDD7B" w14:textId="7111D589" w:rsidR="00D31E8C" w:rsidRDefault="4328195F" w:rsidP="2F9BF80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Arial" w:eastAsia="Arial" w:hAnsi="Arial" w:cs="Arial"/>
          <w:color w:val="auto"/>
          <w:sz w:val="20"/>
          <w:szCs w:val="20"/>
        </w:rPr>
      </w:pPr>
      <w:r w:rsidRPr="301AEF76">
        <w:rPr>
          <w:rFonts w:ascii="Arial" w:eastAsia="Arial" w:hAnsi="Arial" w:cs="Arial"/>
          <w:color w:val="auto"/>
          <w:sz w:val="20"/>
          <w:szCs w:val="20"/>
        </w:rPr>
        <w:t xml:space="preserve">Urine culture: extended-spectrum β-lactamase (ESBL)-producing </w:t>
      </w:r>
      <w:r w:rsidRPr="301AEF76">
        <w:rPr>
          <w:rStyle w:val="None"/>
          <w:rFonts w:ascii="Arial" w:eastAsia="Arial" w:hAnsi="Arial" w:cs="Arial"/>
          <w:i/>
          <w:iCs/>
          <w:color w:val="auto"/>
          <w:sz w:val="20"/>
          <w:szCs w:val="20"/>
        </w:rPr>
        <w:t xml:space="preserve">Proteus </w:t>
      </w:r>
      <w:r w:rsidR="6993B5BA" w:rsidRPr="301AEF76">
        <w:rPr>
          <w:rStyle w:val="None"/>
          <w:rFonts w:ascii="Arial" w:eastAsia="Arial" w:hAnsi="Arial" w:cs="Arial"/>
          <w:i/>
          <w:iCs/>
          <w:color w:val="auto"/>
          <w:sz w:val="20"/>
          <w:szCs w:val="20"/>
        </w:rPr>
        <w:t xml:space="preserve">mirabilis </w:t>
      </w:r>
      <w:r w:rsidR="6993B5BA" w:rsidRPr="301AEF76">
        <w:rPr>
          <w:rStyle w:val="None"/>
          <w:rFonts w:ascii="Arial" w:eastAsia="Arial" w:hAnsi="Arial" w:cs="Arial"/>
          <w:color w:val="auto"/>
          <w:sz w:val="20"/>
          <w:szCs w:val="20"/>
        </w:rPr>
        <w:t>resistant</w:t>
      </w:r>
      <w:r w:rsidR="79CB7E96" w:rsidRPr="301AEF76">
        <w:rPr>
          <w:rFonts w:ascii="Arial" w:eastAsia="Arial" w:hAnsi="Arial" w:cs="Arial"/>
          <w:color w:val="auto"/>
          <w:sz w:val="20"/>
          <w:szCs w:val="20"/>
        </w:rPr>
        <w:t xml:space="preserve"> to amoxicillin/clavulanic acid, cefotaxime, ceftazidime, </w:t>
      </w:r>
      <w:r w:rsidR="775CD377" w:rsidRPr="301AEF76">
        <w:rPr>
          <w:rFonts w:ascii="Arial" w:eastAsia="Arial" w:hAnsi="Arial" w:cs="Arial"/>
          <w:color w:val="auto"/>
          <w:sz w:val="20"/>
          <w:szCs w:val="20"/>
        </w:rPr>
        <w:t>ceftriaxone</w:t>
      </w:r>
      <w:r w:rsidR="492364AB" w:rsidRPr="301AEF76">
        <w:rPr>
          <w:rFonts w:ascii="Arial" w:eastAsia="Arial" w:hAnsi="Arial" w:cs="Arial"/>
          <w:color w:val="auto"/>
          <w:sz w:val="20"/>
          <w:szCs w:val="20"/>
        </w:rPr>
        <w:t>, ciprofloxacin</w:t>
      </w:r>
      <w:r w:rsidR="775CD377" w:rsidRPr="301AEF76">
        <w:rPr>
          <w:rFonts w:ascii="Arial" w:eastAsia="Arial" w:hAnsi="Arial" w:cs="Arial"/>
          <w:color w:val="auto"/>
          <w:sz w:val="20"/>
          <w:szCs w:val="20"/>
        </w:rPr>
        <w:t>. S</w:t>
      </w:r>
      <w:r w:rsidR="79CB7E96" w:rsidRPr="301AEF76">
        <w:rPr>
          <w:rFonts w:ascii="Arial" w:eastAsia="Arial" w:hAnsi="Arial" w:cs="Arial"/>
          <w:color w:val="auto"/>
          <w:sz w:val="20"/>
          <w:szCs w:val="20"/>
        </w:rPr>
        <w:t>usceptible to trimethoprim/sulfamethoxazole.</w:t>
      </w:r>
    </w:p>
    <w:p w14:paraId="15DC6A90" w14:textId="77777777" w:rsidR="00D31E8C" w:rsidRDefault="00D31E8C" w:rsidP="2F9BF80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Arial" w:eastAsia="Arial" w:hAnsi="Arial" w:cs="Arial"/>
          <w:color w:val="auto"/>
          <w:sz w:val="20"/>
          <w:szCs w:val="20"/>
        </w:rPr>
      </w:pPr>
    </w:p>
    <w:p w14:paraId="43F0D69A" w14:textId="77777777" w:rsidR="00D31E8C" w:rsidRDefault="4328195F" w:rsidP="2F9BF80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Style w:val="Hyperlink1"/>
          <w:rFonts w:ascii="Arial" w:eastAsia="Arial" w:hAnsi="Arial" w:cs="Arial"/>
          <w:color w:val="auto"/>
          <w:sz w:val="20"/>
          <w:szCs w:val="20"/>
        </w:rPr>
      </w:pPr>
      <w:r w:rsidRPr="083073EF">
        <w:rPr>
          <w:rFonts w:ascii="Arial" w:eastAsia="Arial" w:hAnsi="Arial" w:cs="Arial"/>
          <w:b/>
          <w:bCs/>
          <w:color w:val="auto"/>
          <w:sz w:val="20"/>
          <w:szCs w:val="20"/>
        </w:rPr>
        <w:t xml:space="preserve">Diagnosis: </w:t>
      </w:r>
    </w:p>
    <w:p w14:paraId="2D1DE5B3" w14:textId="6C123D58" w:rsidR="77EF6F9D" w:rsidRDefault="77EF6F9D" w:rsidP="301AEF7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360" w:lineRule="auto"/>
        <w:jc w:val="both"/>
        <w:rPr>
          <w:rFonts w:ascii="Arial" w:eastAsia="Arial" w:hAnsi="Arial" w:cs="Arial"/>
          <w:color w:val="FFFFFF" w:themeColor="background1"/>
          <w:sz w:val="20"/>
          <w:szCs w:val="20"/>
        </w:rPr>
      </w:pPr>
      <w:r w:rsidRPr="301AEF76">
        <w:rPr>
          <w:rFonts w:ascii="Arial" w:eastAsia="Arial" w:hAnsi="Arial" w:cs="Arial"/>
          <w:color w:val="auto"/>
          <w:sz w:val="20"/>
          <w:szCs w:val="20"/>
        </w:rPr>
        <w:t xml:space="preserve">Clinical presentation, positive urinalysis, and urine culture confirmed a </w:t>
      </w:r>
      <w:r w:rsidR="16EAEFBC" w:rsidRPr="301AEF76">
        <w:rPr>
          <w:rFonts w:ascii="Arial" w:eastAsia="Arial" w:hAnsi="Arial" w:cs="Arial"/>
          <w:color w:val="auto"/>
          <w:sz w:val="20"/>
          <w:szCs w:val="20"/>
        </w:rPr>
        <w:t xml:space="preserve">chronic </w:t>
      </w:r>
      <w:r w:rsidR="408BC4A0" w:rsidRPr="301AEF76">
        <w:rPr>
          <w:rFonts w:ascii="Arial" w:eastAsia="Arial" w:hAnsi="Arial" w:cs="Arial"/>
          <w:color w:val="auto"/>
          <w:sz w:val="20"/>
          <w:szCs w:val="20"/>
        </w:rPr>
        <w:t>symptomatic catheter-associated urinary tract infection</w:t>
      </w:r>
      <w:r w:rsidR="10BAEC42" w:rsidRPr="301AEF76">
        <w:rPr>
          <w:rFonts w:ascii="Arial" w:eastAsia="Arial" w:hAnsi="Arial" w:cs="Arial"/>
          <w:color w:val="auto"/>
          <w:sz w:val="20"/>
          <w:szCs w:val="20"/>
        </w:rPr>
        <w:t xml:space="preserve"> (CA-UTI)</w:t>
      </w:r>
      <w:r w:rsidR="408BC4A0" w:rsidRPr="301AEF76">
        <w:rPr>
          <w:rFonts w:ascii="Arial" w:eastAsia="Arial" w:hAnsi="Arial" w:cs="Arial"/>
          <w:color w:val="auto"/>
          <w:sz w:val="20"/>
          <w:szCs w:val="20"/>
        </w:rPr>
        <w:t xml:space="preserve"> </w:t>
      </w:r>
      <w:r w:rsidRPr="301AEF76">
        <w:rPr>
          <w:rFonts w:ascii="Arial" w:eastAsia="Arial" w:hAnsi="Arial" w:cs="Arial"/>
          <w:color w:val="auto"/>
          <w:sz w:val="20"/>
          <w:szCs w:val="20"/>
        </w:rPr>
        <w:t xml:space="preserve">caused by ESBL-producing </w:t>
      </w:r>
      <w:r w:rsidRPr="301AEF76">
        <w:rPr>
          <w:rFonts w:ascii="Arial" w:eastAsia="Arial" w:hAnsi="Arial" w:cs="Arial"/>
          <w:i/>
          <w:iCs/>
          <w:color w:val="auto"/>
          <w:sz w:val="20"/>
          <w:szCs w:val="20"/>
        </w:rPr>
        <w:t>Proteus mirabilis.</w:t>
      </w:r>
      <w:r w:rsidRPr="301AEF76">
        <w:rPr>
          <w:rFonts w:ascii="Arial" w:eastAsia="Arial" w:hAnsi="Arial" w:cs="Arial"/>
          <w:color w:val="auto"/>
          <w:sz w:val="20"/>
          <w:szCs w:val="20"/>
        </w:rPr>
        <w:t xml:space="preserve"> The associated purplish discoloration of the urine collection system in the setting of chronic catheterization supported the diagnosis of Purple Urine Bag Syndrome.</w:t>
      </w:r>
    </w:p>
    <w:p w14:paraId="316D5036" w14:textId="7D68694F" w:rsidR="0DD5BF12" w:rsidRDefault="45A892ED" w:rsidP="301AEF76">
      <w:pPr>
        <w:spacing w:before="240" w:after="240" w:line="360" w:lineRule="auto"/>
        <w:jc w:val="both"/>
        <w:rPr>
          <w:rFonts w:ascii="Arial" w:eastAsia="Arial" w:hAnsi="Arial" w:cs="Arial"/>
          <w:color w:val="000000" w:themeColor="text1"/>
          <w:sz w:val="20"/>
          <w:szCs w:val="20"/>
        </w:rPr>
      </w:pPr>
      <w:r w:rsidRPr="301AEF76">
        <w:rPr>
          <w:rFonts w:ascii="Arial" w:eastAsia="Arial" w:hAnsi="Arial" w:cs="Arial"/>
          <w:sz w:val="20"/>
          <w:szCs w:val="20"/>
        </w:rPr>
        <w:t>Diagnostic challenges included delayed evaluation of recurrent episodes due to prior attribution to dietary beet consumption. Additionally, access to care was limited by financial constraints</w:t>
      </w:r>
      <w:r w:rsidR="2DE3F073" w:rsidRPr="301AEF76">
        <w:rPr>
          <w:rFonts w:ascii="Arial" w:eastAsia="Arial" w:hAnsi="Arial" w:cs="Arial"/>
          <w:sz w:val="20"/>
          <w:szCs w:val="20"/>
        </w:rPr>
        <w:t xml:space="preserve"> and</w:t>
      </w:r>
      <w:r w:rsidR="20994533" w:rsidRPr="301AEF76">
        <w:rPr>
          <w:rFonts w:ascii="Arial" w:eastAsia="Arial" w:hAnsi="Arial" w:cs="Arial"/>
          <w:sz w:val="20"/>
          <w:szCs w:val="20"/>
        </w:rPr>
        <w:t xml:space="preserve"> </w:t>
      </w:r>
      <w:r w:rsidRPr="301AEF76">
        <w:rPr>
          <w:rFonts w:ascii="Arial" w:eastAsia="Arial" w:hAnsi="Arial" w:cs="Arial"/>
          <w:sz w:val="20"/>
          <w:szCs w:val="20"/>
        </w:rPr>
        <w:t>lack of personal transportation</w:t>
      </w:r>
      <w:r w:rsidR="0E901464" w:rsidRPr="301AEF76">
        <w:rPr>
          <w:rFonts w:ascii="Arial" w:eastAsia="Arial" w:hAnsi="Arial" w:cs="Arial"/>
          <w:sz w:val="20"/>
          <w:szCs w:val="20"/>
        </w:rPr>
        <w:t>.</w:t>
      </w:r>
    </w:p>
    <w:p w14:paraId="54FCEBB8" w14:textId="6E86A233" w:rsidR="53FF7EE7" w:rsidRDefault="07AC4D6C" w:rsidP="301AEF76">
      <w:pPr>
        <w:spacing w:before="240" w:after="240" w:line="360" w:lineRule="auto"/>
        <w:jc w:val="both"/>
        <w:rPr>
          <w:rFonts w:ascii="Arial" w:eastAsia="Arial" w:hAnsi="Arial" w:cs="Arial"/>
          <w:b/>
          <w:bCs/>
          <w:sz w:val="20"/>
          <w:szCs w:val="20"/>
        </w:rPr>
      </w:pPr>
      <w:r w:rsidRPr="301AEF76">
        <w:rPr>
          <w:rFonts w:ascii="Arial" w:eastAsia="Arial" w:hAnsi="Arial" w:cs="Arial"/>
          <w:sz w:val="20"/>
          <w:szCs w:val="20"/>
        </w:rPr>
        <w:t xml:space="preserve">When the discoloration was first noted, our differential diagnosis included hematuria, bladder pathology, and pigmenturia related to foods or medications. However, careful examination showed that the urine itself was relatively clear; the purple discoloration was confined to the synthetic plastic of the </w:t>
      </w:r>
      <w:bookmarkStart w:id="6" w:name="_Int_PKppKFbU"/>
      <w:r w:rsidRPr="301AEF76">
        <w:rPr>
          <w:rFonts w:ascii="Arial" w:eastAsia="Arial" w:hAnsi="Arial" w:cs="Arial"/>
          <w:sz w:val="20"/>
          <w:szCs w:val="20"/>
        </w:rPr>
        <w:t>catheter</w:t>
      </w:r>
      <w:bookmarkEnd w:id="6"/>
      <w:r w:rsidRPr="301AEF76">
        <w:rPr>
          <w:rFonts w:ascii="Arial" w:eastAsia="Arial" w:hAnsi="Arial" w:cs="Arial"/>
          <w:sz w:val="20"/>
          <w:szCs w:val="20"/>
        </w:rPr>
        <w:t xml:space="preserve"> bag and tubing. This distinction made hematuria and most dietary causes less likely, as these typically alter the color of the urine itself, and instead strongly suggested purple urine bag syndrome (PUBS).</w:t>
      </w:r>
    </w:p>
    <w:p w14:paraId="556A1D81" w14:textId="3C43C735" w:rsidR="53FF7EE7" w:rsidRDefault="4328195F" w:rsidP="301AEF76">
      <w:pPr>
        <w:spacing w:before="240" w:after="240" w:line="360" w:lineRule="auto"/>
        <w:jc w:val="both"/>
        <w:rPr>
          <w:rFonts w:ascii="Arial" w:eastAsia="Arial" w:hAnsi="Arial" w:cs="Arial"/>
          <w:color w:val="FFFFFF" w:themeColor="background1"/>
          <w:sz w:val="20"/>
          <w:szCs w:val="20"/>
        </w:rPr>
      </w:pPr>
      <w:r w:rsidRPr="301AEF76">
        <w:rPr>
          <w:rFonts w:ascii="Arial" w:eastAsia="Arial" w:hAnsi="Arial" w:cs="Arial"/>
          <w:b/>
          <w:bCs/>
          <w:sz w:val="20"/>
          <w:szCs w:val="20"/>
        </w:rPr>
        <w:t xml:space="preserve">Treatment: </w:t>
      </w:r>
      <w:r w:rsidR="7E3C110A" w:rsidRPr="301AEF76">
        <w:rPr>
          <w:rFonts w:ascii="Arial" w:eastAsia="Arial" w:hAnsi="Arial" w:cs="Arial"/>
          <w:b/>
          <w:bCs/>
          <w:sz w:val="20"/>
          <w:szCs w:val="20"/>
        </w:rPr>
        <w:t xml:space="preserve">                                                                                                                                               </w:t>
      </w:r>
      <w:r w:rsidR="685F2675" w:rsidRPr="301AEF76">
        <w:rPr>
          <w:rFonts w:ascii="Arial" w:eastAsia="Arial" w:hAnsi="Arial" w:cs="Arial"/>
          <w:sz w:val="20"/>
          <w:szCs w:val="20"/>
        </w:rPr>
        <w:t>Immediate management consisted of routine urinary catheter exchange to achieve source control. Because the patient had symptomatic CA-UTI and a history of recurrent discoloration, empiric ciprofloxacin (500</w:t>
      </w:r>
      <w:r w:rsidR="17A04B29" w:rsidRPr="301AEF76">
        <w:rPr>
          <w:rFonts w:ascii="Arial" w:eastAsia="Arial" w:hAnsi="Arial" w:cs="Arial"/>
          <w:sz w:val="20"/>
          <w:szCs w:val="20"/>
        </w:rPr>
        <w:t xml:space="preserve"> mg twice daily) was started at presentation alongside oral phenazo</w:t>
      </w:r>
      <w:r w:rsidR="1C965DF5" w:rsidRPr="301AEF76">
        <w:rPr>
          <w:rFonts w:ascii="Arial" w:eastAsia="Arial" w:hAnsi="Arial" w:cs="Arial"/>
          <w:sz w:val="20"/>
          <w:szCs w:val="20"/>
        </w:rPr>
        <w:t xml:space="preserve">pyridine (200 mg three times daily for 2 days) for symptom relief. After culture identified ESBL-producing </w:t>
      </w:r>
      <w:r w:rsidR="1C965DF5" w:rsidRPr="301AEF76">
        <w:rPr>
          <w:rFonts w:ascii="Arial" w:eastAsia="Arial" w:hAnsi="Arial" w:cs="Arial"/>
          <w:i/>
          <w:iCs/>
          <w:sz w:val="20"/>
          <w:szCs w:val="20"/>
        </w:rPr>
        <w:t xml:space="preserve">Proteus </w:t>
      </w:r>
      <w:r w:rsidR="7A7246E1" w:rsidRPr="301AEF76">
        <w:rPr>
          <w:rFonts w:ascii="Arial" w:eastAsia="Arial" w:hAnsi="Arial" w:cs="Arial"/>
          <w:i/>
          <w:iCs/>
          <w:sz w:val="20"/>
          <w:szCs w:val="20"/>
        </w:rPr>
        <w:t xml:space="preserve">mirabilis </w:t>
      </w:r>
      <w:r w:rsidR="7A7246E1" w:rsidRPr="301AEF76">
        <w:rPr>
          <w:rFonts w:ascii="Arial" w:eastAsia="Arial" w:hAnsi="Arial" w:cs="Arial"/>
          <w:sz w:val="20"/>
          <w:szCs w:val="20"/>
        </w:rPr>
        <w:t>susceptible to trimethoprim/sulfamethoxazole and resistant to ciprofloxacin, therapy was adjusted accordingly.</w:t>
      </w:r>
      <w:r w:rsidR="0501B96D" w:rsidRPr="301AEF76">
        <w:rPr>
          <w:rFonts w:ascii="Arial" w:eastAsia="Arial" w:hAnsi="Arial" w:cs="Arial"/>
          <w:sz w:val="20"/>
          <w:szCs w:val="20"/>
        </w:rPr>
        <w:t xml:space="preserve"> </w:t>
      </w:r>
      <w:r w:rsidR="0501B96D" w:rsidRPr="301AEF76">
        <w:rPr>
          <w:rFonts w:ascii="Arial" w:eastAsia="Arial" w:hAnsi="Arial" w:cs="Arial"/>
          <w:color w:val="000000" w:themeColor="text1"/>
          <w:sz w:val="20"/>
          <w:szCs w:val="20"/>
        </w:rPr>
        <w:t>At the seven-day follow-up visit, the patient was immediately transitioned to trimethoprim/sulfamethoxazole 160/800 mg twice daily for an additional seven days.</w:t>
      </w:r>
    </w:p>
    <w:p w14:paraId="3EE8B595" w14:textId="38EFD597" w:rsidR="53FF7EE7" w:rsidRDefault="53FF7EE7" w:rsidP="301AEF76">
      <w:pPr>
        <w:spacing w:before="240" w:after="240" w:line="360" w:lineRule="auto"/>
        <w:jc w:val="both"/>
        <w:rPr>
          <w:rFonts w:ascii="Arial" w:eastAsia="Arial" w:hAnsi="Arial" w:cs="Arial"/>
          <w:b/>
          <w:bCs/>
          <w:sz w:val="20"/>
          <w:szCs w:val="20"/>
        </w:rPr>
      </w:pPr>
    </w:p>
    <w:p w14:paraId="6B0C9727" w14:textId="6AC85130" w:rsidR="53FF7EE7" w:rsidRDefault="53FF7EE7" w:rsidP="301AEF76">
      <w:pPr>
        <w:spacing w:before="240" w:after="240" w:line="360" w:lineRule="auto"/>
        <w:jc w:val="both"/>
        <w:rPr>
          <w:rFonts w:ascii="Arial" w:eastAsia="Arial" w:hAnsi="Arial" w:cs="Arial"/>
          <w:b/>
          <w:bCs/>
          <w:sz w:val="20"/>
          <w:szCs w:val="20"/>
        </w:rPr>
      </w:pPr>
    </w:p>
    <w:p w14:paraId="7295695A" w14:textId="1B196594" w:rsidR="53FF7EE7" w:rsidRDefault="4328195F" w:rsidP="301AEF76">
      <w:pPr>
        <w:spacing w:before="240" w:after="240" w:line="360" w:lineRule="auto"/>
        <w:jc w:val="both"/>
        <w:rPr>
          <w:rFonts w:ascii="Arial" w:eastAsia="Arial" w:hAnsi="Arial" w:cs="Arial"/>
          <w:color w:val="000000" w:themeColor="text1"/>
          <w:sz w:val="20"/>
          <w:szCs w:val="20"/>
        </w:rPr>
      </w:pPr>
      <w:r w:rsidRPr="301AEF76">
        <w:rPr>
          <w:rFonts w:ascii="Arial" w:eastAsia="Arial" w:hAnsi="Arial" w:cs="Arial"/>
          <w:b/>
          <w:bCs/>
          <w:sz w:val="20"/>
          <w:szCs w:val="20"/>
        </w:rPr>
        <w:lastRenderedPageBreak/>
        <w:t>Outcome</w:t>
      </w:r>
      <w:r w:rsidR="07419610" w:rsidRPr="301AEF76">
        <w:rPr>
          <w:rFonts w:ascii="Arial" w:eastAsia="Arial" w:hAnsi="Arial" w:cs="Arial"/>
          <w:b/>
          <w:bCs/>
          <w:sz w:val="20"/>
          <w:szCs w:val="20"/>
        </w:rPr>
        <w:t xml:space="preserve">                                                                                                                                                             </w:t>
      </w:r>
      <w:r w:rsidR="6395AF3A" w:rsidRPr="301AEF76">
        <w:rPr>
          <w:rFonts w:ascii="Arial" w:eastAsia="Arial" w:hAnsi="Arial" w:cs="Arial"/>
          <w:color w:val="000000" w:themeColor="text1"/>
          <w:sz w:val="20"/>
          <w:szCs w:val="20"/>
        </w:rPr>
        <w:t>At the initial seven-day follow-up visit, the patient reported significant improvement in urinary symptoms, and the purple discoloration was absent. This early clinical improvement, despite discordant empiric antibiotic therapy, was attributed to adequate source control achieved via the initial catheter exchange. Following the transition to targeted trimethoprim/sulfamethoxazole therapy, the patient reported no medication side effects and, to the best of our knowledge, was adherent to treatment. At the second follow-up fourteen days after initial presentation, repeat urinalysis and a post-treatment urine culture were negative</w:t>
      </w:r>
      <w:r w:rsidR="09265828" w:rsidRPr="301AEF76">
        <w:rPr>
          <w:rFonts w:ascii="Arial" w:eastAsia="Arial" w:hAnsi="Arial" w:cs="Arial"/>
          <w:color w:val="000000" w:themeColor="text1"/>
          <w:sz w:val="20"/>
          <w:szCs w:val="20"/>
        </w:rPr>
        <w:t xml:space="preserve">, </w:t>
      </w:r>
      <w:r w:rsidR="105375AD" w:rsidRPr="301AEF76">
        <w:rPr>
          <w:rFonts w:ascii="Arial" w:eastAsia="Arial" w:hAnsi="Arial" w:cs="Arial"/>
          <w:color w:val="000000" w:themeColor="text1"/>
          <w:sz w:val="20"/>
          <w:szCs w:val="20"/>
        </w:rPr>
        <w:t>with sustained absence of discoloration</w:t>
      </w:r>
      <w:r w:rsidR="09265828" w:rsidRPr="301AEF76">
        <w:rPr>
          <w:rFonts w:ascii="Arial" w:eastAsia="Arial" w:hAnsi="Arial" w:cs="Arial"/>
          <w:color w:val="000000" w:themeColor="text1"/>
          <w:sz w:val="20"/>
          <w:szCs w:val="20"/>
        </w:rPr>
        <w:t xml:space="preserve"> </w:t>
      </w:r>
      <w:r w:rsidR="4B875DBA" w:rsidRPr="301AEF76">
        <w:rPr>
          <w:rFonts w:ascii="Arial" w:eastAsia="Arial" w:hAnsi="Arial" w:cs="Arial"/>
          <w:color w:val="000000" w:themeColor="text1"/>
          <w:sz w:val="19"/>
          <w:szCs w:val="19"/>
        </w:rPr>
        <w:t>(Figure 1)</w:t>
      </w:r>
      <w:r w:rsidR="6395AF3A" w:rsidRPr="301AEF76">
        <w:rPr>
          <w:rFonts w:ascii="Arial" w:eastAsia="Arial" w:hAnsi="Arial" w:cs="Arial"/>
          <w:color w:val="000000" w:themeColor="text1"/>
          <w:sz w:val="20"/>
          <w:szCs w:val="20"/>
        </w:rPr>
        <w:t>. No adverse or unanticipated events were reported.</w:t>
      </w:r>
    </w:p>
    <w:p w14:paraId="7464818B" w14:textId="17F1A624" w:rsidR="00D31E8C" w:rsidRDefault="4328195F" w:rsidP="301AEF7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after="281" w:line="360" w:lineRule="auto"/>
        <w:jc w:val="both"/>
        <w:rPr>
          <w:color w:val="000000" w:themeColor="text1"/>
        </w:rPr>
      </w:pPr>
      <w:r w:rsidRPr="301AEF76">
        <w:rPr>
          <w:rFonts w:ascii="Arial" w:eastAsia="Arial" w:hAnsi="Arial" w:cs="Arial"/>
          <w:b/>
          <w:bCs/>
          <w:color w:val="auto"/>
          <w:sz w:val="20"/>
          <w:szCs w:val="20"/>
        </w:rPr>
        <w:t>Ethical Approval and Informed Consent</w:t>
      </w:r>
      <w:r w:rsidR="2537CEDA" w:rsidRPr="301AEF76">
        <w:rPr>
          <w:rFonts w:ascii="Arial" w:eastAsia="Arial" w:hAnsi="Arial" w:cs="Arial"/>
          <w:b/>
          <w:bCs/>
          <w:color w:val="auto"/>
          <w:sz w:val="20"/>
          <w:szCs w:val="20"/>
        </w:rPr>
        <w:t xml:space="preserve">                                                                                                </w:t>
      </w:r>
    </w:p>
    <w:p w14:paraId="147E80B6" w14:textId="4E4876E5" w:rsidR="00D31E8C" w:rsidRDefault="4328195F" w:rsidP="301AEF7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after="281" w:line="360" w:lineRule="auto"/>
        <w:jc w:val="both"/>
        <w:rPr>
          <w:color w:val="000000" w:themeColor="text1"/>
        </w:rPr>
      </w:pPr>
      <w:r w:rsidRPr="301AEF76">
        <w:rPr>
          <w:rFonts w:ascii="Arial" w:eastAsia="Arial" w:hAnsi="Arial" w:cs="Arial"/>
          <w:color w:val="auto"/>
          <w:sz w:val="20"/>
          <w:szCs w:val="20"/>
        </w:rPr>
        <w:t xml:space="preserve">Written informed consent for publication of this case report and accompanying </w:t>
      </w:r>
      <w:r w:rsidR="0E48EE30" w:rsidRPr="301AEF76">
        <w:rPr>
          <w:rFonts w:ascii="Arial" w:eastAsia="Arial" w:hAnsi="Arial" w:cs="Arial"/>
          <w:color w:val="auto"/>
          <w:sz w:val="20"/>
          <w:szCs w:val="20"/>
        </w:rPr>
        <w:t xml:space="preserve">anonymized </w:t>
      </w:r>
      <w:r w:rsidRPr="301AEF76">
        <w:rPr>
          <w:rFonts w:ascii="Arial" w:eastAsia="Arial" w:hAnsi="Arial" w:cs="Arial"/>
          <w:color w:val="auto"/>
          <w:sz w:val="20"/>
          <w:szCs w:val="20"/>
        </w:rPr>
        <w:t>images was obtained from the patient. The case was conducted in accordance with the ethical standards of the institutional and national research committees and with the 1964 Helsinki Declaration and its later amendments.</w:t>
      </w:r>
    </w:p>
    <w:p w14:paraId="541C8D26" w14:textId="77777777" w:rsidR="00D31E8C" w:rsidRDefault="00D31E8C">
      <w:pPr>
        <w:pStyle w:val="Body"/>
        <w:spacing w:line="360" w:lineRule="auto"/>
        <w:jc w:val="both"/>
        <w:rPr>
          <w:rStyle w:val="None"/>
          <w:rFonts w:ascii="Arial" w:eastAsia="Arial" w:hAnsi="Arial" w:cs="Arial"/>
          <w:sz w:val="20"/>
          <w:szCs w:val="20"/>
        </w:rPr>
      </w:pPr>
    </w:p>
    <w:p w14:paraId="32965D4E" w14:textId="0825ACD2" w:rsidR="00D31E8C" w:rsidRDefault="4328195F" w:rsidP="2F9BF80F">
      <w:pPr>
        <w:pStyle w:val="Body"/>
        <w:spacing w:line="360" w:lineRule="auto"/>
        <w:jc w:val="both"/>
        <w:rPr>
          <w:rFonts w:ascii="Arial" w:eastAsia="Arial" w:hAnsi="Arial" w:cs="Arial"/>
          <w:color w:val="auto"/>
          <w:sz w:val="20"/>
          <w:szCs w:val="20"/>
        </w:rPr>
      </w:pPr>
      <w:r w:rsidRPr="083073EF">
        <w:rPr>
          <w:rStyle w:val="None"/>
          <w:rFonts w:ascii="Arial" w:eastAsia="Arial" w:hAnsi="Arial" w:cs="Arial"/>
          <w:b/>
          <w:bCs/>
          <w:color w:val="auto"/>
          <w:sz w:val="20"/>
          <w:szCs w:val="20"/>
        </w:rPr>
        <w:t>DISCUSSION.</w:t>
      </w:r>
    </w:p>
    <w:p w14:paraId="0485686A" w14:textId="4A6C650C" w:rsidR="432FCEF1" w:rsidRDefault="4A2AF919" w:rsidP="301AEF76">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360" w:lineRule="auto"/>
        <w:jc w:val="both"/>
        <w:rPr>
          <w:rFonts w:ascii="Arial" w:eastAsia="Arial" w:hAnsi="Arial" w:cs="Arial"/>
          <w:color w:val="000000" w:themeColor="text1"/>
          <w:sz w:val="20"/>
          <w:szCs w:val="20"/>
          <w:vertAlign w:val="superscript"/>
        </w:rPr>
      </w:pPr>
      <w:r w:rsidRPr="301AEF76">
        <w:rPr>
          <w:rFonts w:ascii="Arial" w:eastAsia="Arial" w:hAnsi="Arial" w:cs="Arial"/>
          <w:color w:val="auto"/>
          <w:sz w:val="20"/>
          <w:szCs w:val="20"/>
        </w:rPr>
        <w:t xml:space="preserve">Although PUBS is often considered a benign manifestation of asymptomatic bacterial colonization, in this patient it served as a </w:t>
      </w:r>
      <w:r w:rsidR="04B9A0E1" w:rsidRPr="301AEF76">
        <w:rPr>
          <w:rFonts w:ascii="Arial" w:eastAsia="Arial" w:hAnsi="Arial" w:cs="Arial"/>
          <w:color w:val="auto"/>
          <w:sz w:val="20"/>
          <w:szCs w:val="20"/>
        </w:rPr>
        <w:t xml:space="preserve">prominent clinical feature of a chronic, recurrent, </w:t>
      </w:r>
      <w:r w:rsidR="1C285C5B" w:rsidRPr="301AEF76">
        <w:rPr>
          <w:rFonts w:ascii="Arial" w:eastAsia="Arial" w:hAnsi="Arial" w:cs="Arial"/>
          <w:color w:val="auto"/>
          <w:sz w:val="20"/>
          <w:szCs w:val="20"/>
        </w:rPr>
        <w:t>and symptomatic</w:t>
      </w:r>
      <w:r w:rsidRPr="301AEF76">
        <w:rPr>
          <w:rFonts w:ascii="Arial" w:eastAsia="Arial" w:hAnsi="Arial" w:cs="Arial"/>
          <w:color w:val="auto"/>
          <w:sz w:val="20"/>
          <w:szCs w:val="20"/>
        </w:rPr>
        <w:t xml:space="preserve"> CA-UTI</w:t>
      </w:r>
      <w:r w:rsidR="76BCA144" w:rsidRPr="301AEF76">
        <w:rPr>
          <w:rFonts w:ascii="Arial" w:eastAsia="Arial" w:hAnsi="Arial" w:cs="Arial"/>
          <w:color w:val="auto"/>
          <w:sz w:val="20"/>
          <w:szCs w:val="20"/>
        </w:rPr>
        <w:t>.</w:t>
      </w:r>
      <w:r w:rsidR="56F9EB07" w:rsidRPr="301AEF76">
        <w:rPr>
          <w:rFonts w:ascii="Arial" w:eastAsia="Arial" w:hAnsi="Arial" w:cs="Arial"/>
          <w:color w:val="auto"/>
          <w:sz w:val="20"/>
          <w:szCs w:val="20"/>
        </w:rPr>
        <w:t xml:space="preserve"> Specifically, the patient met the clinical criteria for symptomatic infection through chronic </w:t>
      </w:r>
      <w:r w:rsidR="05AD0B59" w:rsidRPr="301AEF76">
        <w:rPr>
          <w:rFonts w:ascii="Arial" w:eastAsia="Arial" w:hAnsi="Arial" w:cs="Arial"/>
          <w:color w:val="auto"/>
          <w:sz w:val="20"/>
          <w:szCs w:val="20"/>
        </w:rPr>
        <w:t xml:space="preserve">catheterization, suprapubic pain, pyuria, bacteriuria, and culture </w:t>
      </w:r>
      <w:r w:rsidR="2D535EE7" w:rsidRPr="301AEF76">
        <w:rPr>
          <w:rFonts w:ascii="Arial" w:eastAsia="Arial" w:hAnsi="Arial" w:cs="Arial"/>
          <w:color w:val="auto"/>
          <w:sz w:val="20"/>
          <w:szCs w:val="20"/>
        </w:rPr>
        <w:t>growth</w:t>
      </w:r>
      <w:r w:rsidR="05AD0B59" w:rsidRPr="301AEF76">
        <w:rPr>
          <w:rFonts w:ascii="Arial" w:eastAsia="Arial" w:hAnsi="Arial" w:cs="Arial"/>
          <w:color w:val="auto"/>
          <w:sz w:val="20"/>
          <w:szCs w:val="20"/>
        </w:rPr>
        <w:t xml:space="preserve"> of ESBL producing </w:t>
      </w:r>
      <w:r w:rsidR="05AD0B59" w:rsidRPr="301AEF76">
        <w:rPr>
          <w:rFonts w:ascii="Arial" w:eastAsia="Arial" w:hAnsi="Arial" w:cs="Arial"/>
          <w:i/>
          <w:iCs/>
          <w:color w:val="auto"/>
          <w:sz w:val="20"/>
          <w:szCs w:val="20"/>
        </w:rPr>
        <w:t>Proteus mirabilis</w:t>
      </w:r>
      <w:r w:rsidR="05AD0B59" w:rsidRPr="301AEF76">
        <w:rPr>
          <w:rFonts w:ascii="Arial" w:eastAsia="Arial" w:hAnsi="Arial" w:cs="Arial"/>
          <w:color w:val="auto"/>
          <w:sz w:val="20"/>
          <w:szCs w:val="20"/>
        </w:rPr>
        <w:t>.</w:t>
      </w:r>
      <w:r w:rsidR="5F372DAD" w:rsidRPr="301AEF76">
        <w:rPr>
          <w:rFonts w:ascii="Arial" w:eastAsia="Arial" w:hAnsi="Arial" w:cs="Arial"/>
          <w:color w:val="auto"/>
          <w:sz w:val="20"/>
          <w:szCs w:val="20"/>
        </w:rPr>
        <w:t xml:space="preserve"> </w:t>
      </w:r>
      <w:r w:rsidR="420DE5C7" w:rsidRPr="301AEF76">
        <w:rPr>
          <w:rFonts w:ascii="Arial" w:eastAsia="Arial" w:hAnsi="Arial" w:cs="Arial"/>
          <w:color w:val="auto"/>
          <w:sz w:val="20"/>
          <w:szCs w:val="20"/>
        </w:rPr>
        <w:t xml:space="preserve">Furthermore, this case </w:t>
      </w:r>
      <w:r w:rsidR="433271E1" w:rsidRPr="301AEF76">
        <w:rPr>
          <w:rFonts w:ascii="Arial" w:eastAsia="Arial" w:hAnsi="Arial" w:cs="Arial"/>
          <w:color w:val="auto"/>
          <w:sz w:val="20"/>
          <w:szCs w:val="20"/>
        </w:rPr>
        <w:t>demonstrates that PUBS can manifest despite a measured acidic urine pH</w:t>
      </w:r>
      <w:r w:rsidR="420DE5C7" w:rsidRPr="301AEF76">
        <w:rPr>
          <w:rFonts w:ascii="Arial" w:eastAsia="Arial" w:hAnsi="Arial" w:cs="Arial"/>
          <w:color w:val="auto"/>
          <w:sz w:val="20"/>
          <w:szCs w:val="20"/>
        </w:rPr>
        <w:t>. Urinary pH measured in bulk urine may not reflect the physicochemical conditions at the catheter–biofilm interface, where pigment formation primarily occurs.</w:t>
      </w:r>
      <w:r w:rsidR="5F372DAD" w:rsidRPr="301AEF76">
        <w:rPr>
          <w:rFonts w:ascii="Arial" w:eastAsia="Arial" w:hAnsi="Arial" w:cs="Arial"/>
          <w:color w:val="auto"/>
          <w:sz w:val="20"/>
          <w:szCs w:val="20"/>
        </w:rPr>
        <w:t xml:space="preserve"> Catheter-associated biofilms exhibit metabolic plasticity and can generate localized microenvironments, including pH variation driven by urease activity.</w:t>
      </w:r>
      <w:sdt>
        <w:sdtPr>
          <w:rPr>
            <w:rFonts w:ascii="Arial" w:eastAsia="Arial" w:hAnsi="Arial" w:cs="Arial"/>
            <w:color w:val="auto"/>
            <w:sz w:val="20"/>
            <w:szCs w:val="20"/>
            <w:vertAlign w:val="superscript"/>
          </w:rPr>
          <w:tag w:val="MENDELEY_CITATION_v3_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"/>
          <w:id w:val="414869068"/>
          <w:placeholder>
            <w:docPart w:val="DefaultPlaceholder_-1854013440"/>
          </w:placeholder>
        </w:sdtPr>
        <w:sdtEndPr/>
        <w:sdtContent>
          <w:r w:rsidR="4CB620AB" w:rsidRPr="301AEF76">
            <w:rPr>
              <w:rFonts w:ascii="Arial" w:eastAsia="Arial" w:hAnsi="Arial" w:cs="Arial"/>
              <w:color w:val="000000" w:themeColor="text1"/>
              <w:sz w:val="20"/>
              <w:szCs w:val="20"/>
              <w:vertAlign w:val="superscript"/>
            </w:rPr>
            <w:t>6</w:t>
          </w:r>
        </w:sdtContent>
      </w:sdt>
      <w:r w:rsidR="5F372DAD" w:rsidRPr="301AEF76">
        <w:rPr>
          <w:rFonts w:ascii="Arial" w:eastAsia="Arial" w:hAnsi="Arial" w:cs="Arial"/>
          <w:color w:val="auto"/>
          <w:sz w:val="20"/>
          <w:szCs w:val="20"/>
        </w:rPr>
        <w:t xml:space="preserve"> Consequently, the enzymatic hydrolysis of indoxyl sulfate and subsequent oxidation of indoxyl likely occurred at the catheter surface or within the collection bag where bacterial density is maximal.</w:t>
      </w:r>
      <w:sdt>
        <w:sdtPr>
          <w:rPr>
            <w:rFonts w:ascii="Arial" w:eastAsia="Arial" w:hAnsi="Arial" w:cs="Arial"/>
            <w:color w:val="auto"/>
            <w:sz w:val="20"/>
            <w:szCs w:val="20"/>
            <w:vertAlign w:val="superscript"/>
          </w:rPr>
          <w:tag w:val="MENDELEY_CITATION_v3_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"/>
          <w:id w:val="471898484"/>
          <w:placeholder>
            <w:docPart w:val="DefaultPlaceholder_-1854013440"/>
          </w:placeholder>
        </w:sdtPr>
        <w:sdtEndPr/>
        <w:sdtContent>
          <w:r w:rsidR="4CB620AB" w:rsidRPr="301AEF76">
            <w:rPr>
              <w:rFonts w:ascii="Arial" w:eastAsia="Arial" w:hAnsi="Arial" w:cs="Arial"/>
              <w:color w:val="000000" w:themeColor="text1"/>
              <w:sz w:val="20"/>
              <w:szCs w:val="20"/>
              <w:vertAlign w:val="superscript"/>
            </w:rPr>
            <w:t>7</w:t>
          </w:r>
        </w:sdtContent>
      </w:sdt>
    </w:p>
    <w:p w14:paraId="32B21AC3" w14:textId="6D012A6B" w:rsidR="2F9BF80F" w:rsidRDefault="2F9BF80F" w:rsidP="301AEF76">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360" w:lineRule="auto"/>
        <w:jc w:val="both"/>
        <w:rPr>
          <w:b/>
          <w:bCs/>
          <w:color w:val="000000" w:themeColor="text1"/>
        </w:rPr>
      </w:pPr>
    </w:p>
    <w:p w14:paraId="52E88417" w14:textId="380E30CE" w:rsidR="001E5E21" w:rsidRDefault="06CFAD97" w:rsidP="301AEF76">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360" w:lineRule="auto"/>
        <w:jc w:val="both"/>
        <w:rPr>
          <w:rFonts w:ascii="Arial" w:eastAsia="Arial" w:hAnsi="Arial" w:cs="Arial"/>
          <w:color w:val="auto"/>
          <w:sz w:val="20"/>
          <w:szCs w:val="20"/>
        </w:rPr>
      </w:pPr>
      <w:r w:rsidRPr="301AEF76">
        <w:rPr>
          <w:rFonts w:ascii="Arial" w:eastAsia="Arial" w:hAnsi="Arial" w:cs="Arial"/>
          <w:color w:val="auto"/>
          <w:sz w:val="20"/>
          <w:szCs w:val="20"/>
        </w:rPr>
        <w:t>Consistent with this mechanistic explanation,</w:t>
      </w:r>
      <w:r w:rsidR="612D711A" w:rsidRPr="301AEF76">
        <w:rPr>
          <w:rFonts w:ascii="Arial" w:eastAsia="Arial" w:hAnsi="Arial" w:cs="Arial"/>
          <w:color w:val="auto"/>
          <w:sz w:val="20"/>
          <w:szCs w:val="20"/>
        </w:rPr>
        <w:t xml:space="preserve"> a</w:t>
      </w:r>
      <w:r w:rsidRPr="301AEF76">
        <w:rPr>
          <w:rFonts w:ascii="Arial" w:eastAsia="Arial" w:hAnsi="Arial" w:cs="Arial"/>
          <w:color w:val="auto"/>
          <w:sz w:val="20"/>
          <w:szCs w:val="20"/>
        </w:rPr>
        <w:t xml:space="preserve"> systematic review found that approximately 6.9% of PUBS cases occur with urinary pH below 7.0.</w:t>
      </w:r>
      <w:sdt>
        <w:sdtPr>
          <w:rPr>
            <w:rFonts w:ascii="Arial" w:eastAsia="Arial" w:hAnsi="Arial" w:cs="Arial"/>
            <w:color w:val="auto"/>
            <w:sz w:val="20"/>
            <w:szCs w:val="20"/>
            <w:vertAlign w:val="superscript"/>
          </w:rPr>
          <w:tag w:val="MENDELEY_CITATION_v3_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"/>
          <w:id w:val="1320990413"/>
          <w:placeholder>
            <w:docPart w:val="DefaultPlaceholder_-1854013440"/>
          </w:placeholder>
        </w:sdtPr>
        <w:sdtEndPr/>
        <w:sdtContent>
          <w:r w:rsidR="4CB620AB" w:rsidRPr="301AEF76">
            <w:rPr>
              <w:rFonts w:ascii="Arial" w:eastAsia="Arial" w:hAnsi="Arial" w:cs="Arial"/>
              <w:color w:val="000000" w:themeColor="text1"/>
              <w:sz w:val="20"/>
              <w:szCs w:val="20"/>
              <w:vertAlign w:val="superscript"/>
            </w:rPr>
            <w:t>8</w:t>
          </w:r>
        </w:sdtContent>
      </w:sdt>
      <w:r w:rsidRPr="301AEF76">
        <w:rPr>
          <w:rFonts w:ascii="Arial" w:eastAsia="Arial" w:hAnsi="Arial" w:cs="Arial"/>
          <w:color w:val="auto"/>
          <w:sz w:val="20"/>
          <w:szCs w:val="20"/>
        </w:rPr>
        <w:t xml:space="preserve"> </w:t>
      </w:r>
      <w:r w:rsidR="5291BA59" w:rsidRPr="301AEF76">
        <w:rPr>
          <w:rFonts w:ascii="Arial" w:eastAsia="Arial" w:hAnsi="Arial" w:cs="Arial"/>
          <w:color w:val="auto"/>
          <w:sz w:val="20"/>
          <w:szCs w:val="20"/>
        </w:rPr>
        <w:t>Our case is comparable to one reported by Chung et al. describing an 85 year old male with a chronic indwelling catheter and acidic urine (pH 5.5)</w:t>
      </w:r>
      <w:r w:rsidRPr="301AEF76">
        <w:rPr>
          <w:rFonts w:ascii="Arial" w:eastAsia="Arial" w:hAnsi="Arial" w:cs="Arial"/>
          <w:color w:val="auto"/>
          <w:sz w:val="20"/>
          <w:szCs w:val="20"/>
        </w:rPr>
        <w:t>.</w:t>
      </w:r>
      <w:r w:rsidR="1AA2F62E" w:rsidRPr="301AEF76">
        <w:rPr>
          <w:rFonts w:ascii="Arial" w:eastAsia="Arial" w:hAnsi="Arial" w:cs="Arial"/>
          <w:color w:val="auto"/>
          <w:sz w:val="20"/>
          <w:szCs w:val="20"/>
          <w:vertAlign w:val="superscript"/>
        </w:rPr>
        <w:t>9</w:t>
      </w:r>
      <w:r w:rsidRPr="301AEF76">
        <w:rPr>
          <w:rFonts w:ascii="Arial" w:eastAsia="Arial" w:hAnsi="Arial" w:cs="Arial"/>
          <w:color w:val="auto"/>
          <w:sz w:val="20"/>
          <w:szCs w:val="20"/>
        </w:rPr>
        <w:t xml:space="preserve"> </w:t>
      </w:r>
      <w:r w:rsidR="1506EDC9" w:rsidRPr="301AEF76">
        <w:rPr>
          <w:rFonts w:ascii="Arial" w:eastAsia="Arial" w:hAnsi="Arial" w:cs="Arial"/>
          <w:color w:val="auto"/>
          <w:sz w:val="20"/>
          <w:szCs w:val="20"/>
        </w:rPr>
        <w:t>Both patients were elderly men requiring long term catheterization, with benign prostatic hyperplasia in our patient and neurogenic bladder in the comparison case.</w:t>
      </w:r>
      <w:r w:rsidR="14B6C273" w:rsidRPr="301AEF76">
        <w:rPr>
          <w:rFonts w:ascii="Arial" w:eastAsia="Arial" w:hAnsi="Arial" w:cs="Arial"/>
          <w:color w:val="auto"/>
          <w:sz w:val="20"/>
          <w:szCs w:val="20"/>
        </w:rPr>
        <w:t xml:space="preserve"> </w:t>
      </w:r>
      <w:r w:rsidR="14B6C273" w:rsidRPr="301AEF76">
        <w:rPr>
          <w:rFonts w:ascii="Arial" w:eastAsia="Arial" w:hAnsi="Arial" w:cs="Arial"/>
          <w:color w:val="000000" w:themeColor="text1"/>
          <w:sz w:val="20"/>
          <w:szCs w:val="20"/>
        </w:rPr>
        <w:t>While both patients shared the primary risk factor of chronic indwelling catheterization, their secondary profiles differed; the patient reported by Chung et al. was paraplegic with chronic constipation, whereas our patient remained mobile with regular bowel movements.</w:t>
      </w:r>
    </w:p>
    <w:p w14:paraId="0D711179" w14:textId="7EB815BB" w:rsidR="2F9BF80F" w:rsidRDefault="2F9BF80F" w:rsidP="083073EF">
      <w:pPr>
        <w:pStyle w:val="Default"/>
        <w:spacing w:before="0" w:line="360" w:lineRule="auto"/>
        <w:jc w:val="both"/>
        <w:rPr>
          <w:rFonts w:ascii="Arial" w:eastAsia="Arial" w:hAnsi="Arial" w:cs="Arial"/>
          <w:color w:val="auto"/>
          <w:sz w:val="20"/>
          <w:szCs w:val="20"/>
        </w:rPr>
      </w:pPr>
    </w:p>
    <w:p w14:paraId="547B29EC" w14:textId="714FDA42" w:rsidR="00D31E8C" w:rsidRDefault="5E527AD1" w:rsidP="301AEF76">
      <w:pPr>
        <w:pStyle w:val="Default"/>
        <w:spacing w:before="0" w:after="240" w:line="360" w:lineRule="auto"/>
        <w:jc w:val="both"/>
        <w:rPr>
          <w:rFonts w:ascii="Arial" w:eastAsia="Arial" w:hAnsi="Arial" w:cs="Arial"/>
          <w:color w:val="auto"/>
          <w:sz w:val="20"/>
          <w:szCs w:val="20"/>
        </w:rPr>
      </w:pPr>
      <w:r w:rsidRPr="301AEF76">
        <w:rPr>
          <w:rFonts w:ascii="Arial" w:eastAsia="Arial" w:hAnsi="Arial" w:cs="Arial"/>
          <w:color w:val="auto"/>
          <w:sz w:val="20"/>
          <w:szCs w:val="20"/>
        </w:rPr>
        <w:t xml:space="preserve">This case has two main limitations. </w:t>
      </w:r>
      <w:r w:rsidR="64C3834F" w:rsidRPr="301AEF76">
        <w:rPr>
          <w:rFonts w:ascii="Arial" w:eastAsia="Arial" w:hAnsi="Arial" w:cs="Arial"/>
          <w:color w:val="auto"/>
          <w:sz w:val="20"/>
          <w:szCs w:val="20"/>
        </w:rPr>
        <w:t>First</w:t>
      </w:r>
      <w:r w:rsidR="27343B2A" w:rsidRPr="301AEF76">
        <w:rPr>
          <w:rFonts w:ascii="Arial" w:eastAsia="Arial" w:hAnsi="Arial" w:cs="Arial"/>
          <w:color w:val="auto"/>
          <w:sz w:val="20"/>
          <w:szCs w:val="20"/>
        </w:rPr>
        <w:t>, m</w:t>
      </w:r>
      <w:r w:rsidRPr="301AEF76">
        <w:rPr>
          <w:rFonts w:ascii="Arial" w:eastAsia="Arial" w:hAnsi="Arial" w:cs="Arial"/>
          <w:color w:val="auto"/>
          <w:sz w:val="20"/>
          <w:szCs w:val="20"/>
        </w:rPr>
        <w:t xml:space="preserve">olecular or enzymatic testing was not available to confirm phosphatase and sulfatase production by the isolated </w:t>
      </w:r>
      <w:r w:rsidRPr="301AEF76">
        <w:rPr>
          <w:rFonts w:ascii="Arial" w:eastAsia="Arial" w:hAnsi="Arial" w:cs="Arial"/>
          <w:i/>
          <w:iCs/>
          <w:color w:val="auto"/>
          <w:sz w:val="20"/>
          <w:szCs w:val="20"/>
        </w:rPr>
        <w:t>Proteus mirabilis</w:t>
      </w:r>
      <w:r w:rsidRPr="301AEF76">
        <w:rPr>
          <w:rFonts w:ascii="Arial" w:eastAsia="Arial" w:hAnsi="Arial" w:cs="Arial"/>
          <w:color w:val="auto"/>
          <w:sz w:val="20"/>
          <w:szCs w:val="20"/>
        </w:rPr>
        <w:t xml:space="preserve">. </w:t>
      </w:r>
      <w:r w:rsidR="7C2A5497" w:rsidRPr="301AEF76">
        <w:rPr>
          <w:rFonts w:ascii="Arial" w:eastAsia="Arial" w:hAnsi="Arial" w:cs="Arial"/>
          <w:color w:val="auto"/>
          <w:sz w:val="20"/>
          <w:szCs w:val="20"/>
        </w:rPr>
        <w:t>Second, empiric ciprofloxacin</w:t>
      </w:r>
      <w:r w:rsidRPr="301AEF76">
        <w:rPr>
          <w:rFonts w:ascii="Arial" w:eastAsia="Arial" w:hAnsi="Arial" w:cs="Arial"/>
          <w:color w:val="auto"/>
          <w:sz w:val="20"/>
          <w:szCs w:val="20"/>
        </w:rPr>
        <w:t xml:space="preserve"> represents a therapeutic limitation. </w:t>
      </w:r>
      <w:r w:rsidR="35A97063" w:rsidRPr="301AEF76">
        <w:rPr>
          <w:rFonts w:ascii="Arial" w:eastAsia="Arial" w:hAnsi="Arial" w:cs="Arial"/>
          <w:color w:val="auto"/>
          <w:sz w:val="20"/>
          <w:szCs w:val="20"/>
        </w:rPr>
        <w:t xml:space="preserve"> </w:t>
      </w:r>
      <w:r w:rsidR="7DB9D6C5" w:rsidRPr="301AEF76">
        <w:rPr>
          <w:rFonts w:ascii="Arial" w:eastAsia="Arial" w:hAnsi="Arial" w:cs="Arial"/>
          <w:color w:val="auto"/>
          <w:sz w:val="20"/>
          <w:szCs w:val="20"/>
        </w:rPr>
        <w:t xml:space="preserve"> </w:t>
      </w:r>
      <w:r w:rsidR="7DB9D6C5" w:rsidRPr="301AEF76">
        <w:rPr>
          <w:rFonts w:ascii="Arial" w:eastAsia="Arial" w:hAnsi="Arial" w:cs="Arial"/>
          <w:color w:val="000000" w:themeColor="text1"/>
          <w:sz w:val="20"/>
          <w:szCs w:val="20"/>
        </w:rPr>
        <w:t xml:space="preserve">Despite the patient's long-term catheterization and high risk for resistant organisms (subsequently confirmed as ESBL-producing), optimal empiric therapy with intravenous carbapenems was constrained by outpatient management protocols. Because the patient's stable condition did </w:t>
      </w:r>
      <w:r w:rsidR="7DB9D6C5" w:rsidRPr="301AEF76">
        <w:rPr>
          <w:rFonts w:ascii="Arial" w:eastAsia="Arial" w:hAnsi="Arial" w:cs="Arial"/>
          <w:color w:val="000000" w:themeColor="text1"/>
          <w:sz w:val="20"/>
          <w:szCs w:val="20"/>
        </w:rPr>
        <w:lastRenderedPageBreak/>
        <w:t>not meet criteria for emergency hospital referral, we were unable to access broad-spectrum intravenous antibiotics.</w:t>
      </w:r>
    </w:p>
    <w:p w14:paraId="7131ED88" w14:textId="1AC2BE87" w:rsidR="00D31E8C" w:rsidRDefault="642A4D89" w:rsidP="301AEF76">
      <w:pPr>
        <w:pStyle w:val="Default"/>
        <w:spacing w:before="0" w:after="240" w:line="360" w:lineRule="auto"/>
        <w:jc w:val="both"/>
        <w:rPr>
          <w:rFonts w:ascii="Arial" w:eastAsia="Arial" w:hAnsi="Arial" w:cs="Arial"/>
          <w:color w:val="auto"/>
          <w:sz w:val="20"/>
          <w:szCs w:val="20"/>
        </w:rPr>
      </w:pPr>
      <w:r w:rsidRPr="301AEF76">
        <w:rPr>
          <w:rFonts w:ascii="Arial" w:eastAsia="Arial" w:hAnsi="Arial" w:cs="Arial"/>
          <w:b/>
          <w:bCs/>
          <w:color w:val="auto"/>
          <w:sz w:val="20"/>
          <w:szCs w:val="20"/>
        </w:rPr>
        <w:t>Conclusion</w:t>
      </w:r>
    </w:p>
    <w:p w14:paraId="29E6F1ED" w14:textId="21BE1079" w:rsidR="00D31E8C" w:rsidRDefault="642A4D89" w:rsidP="301AEF76">
      <w:pPr>
        <w:spacing w:before="240" w:after="240" w:line="360" w:lineRule="auto"/>
        <w:jc w:val="both"/>
        <w:rPr>
          <w:rStyle w:val="None"/>
          <w:rFonts w:ascii="Arial" w:eastAsia="Arial" w:hAnsi="Arial" w:cs="Arial"/>
        </w:rPr>
      </w:pPr>
      <w:r w:rsidRPr="301AEF76">
        <w:rPr>
          <w:rFonts w:ascii="Arial" w:eastAsia="Arial" w:hAnsi="Arial" w:cs="Arial"/>
          <w:sz w:val="20"/>
          <w:szCs w:val="20"/>
        </w:rPr>
        <w:t xml:space="preserve">This case emphasizes three clinical lessons. First, purple urine bag syndrome should prompt evaluation for urinary tract infection, as misinterpretation of urine discoloration may delay diagnosis. </w:t>
      </w:r>
      <w:r w:rsidR="71B6DF96" w:rsidRPr="301AEF76">
        <w:rPr>
          <w:rFonts w:ascii="Arial" w:eastAsia="Arial" w:hAnsi="Arial" w:cs="Arial"/>
          <w:color w:val="000000" w:themeColor="text1"/>
          <w:sz w:val="20"/>
          <w:szCs w:val="20"/>
        </w:rPr>
        <w:t xml:space="preserve"> Second, the potential association with multidrug-resistant organisms reinforces the importance of culture-guided antimicrobial therapy in catheter-associated infections. Third, and most significantly, this case expands the recognized clinical spectrum of PUBS by documenting its occurrence in a chronically catheterized male patient with measured acidic urine and no history of constipation.</w:t>
      </w:r>
      <w:r w:rsidR="7E60202F" w:rsidRPr="301AEF76">
        <w:rPr>
          <w:rFonts w:ascii="Arial" w:hAnsi="Arial"/>
          <w:sz w:val="20"/>
          <w:szCs w:val="20"/>
        </w:rPr>
        <w:t> </w:t>
      </w:r>
    </w:p>
    <w:p w14:paraId="7BE3E1B5" w14:textId="0275DBB1" w:rsidR="00D31E8C" w:rsidRDefault="4328195F" w:rsidP="2F9BF80F">
      <w:pPr>
        <w:pStyle w:val="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rStyle w:val="None"/>
          <w:rFonts w:ascii="Arial" w:eastAsia="Arial" w:hAnsi="Arial" w:cs="Arial"/>
          <w:b/>
          <w:bCs/>
          <w:sz w:val="20"/>
          <w:szCs w:val="20"/>
        </w:rPr>
      </w:pPr>
      <w:r w:rsidRPr="4CB620AB">
        <w:rPr>
          <w:rStyle w:val="None"/>
          <w:rFonts w:ascii="Arial" w:hAnsi="Arial"/>
          <w:b/>
          <w:bCs/>
          <w:sz w:val="20"/>
          <w:szCs w:val="20"/>
        </w:rPr>
        <w:t>REFERENCES.</w:t>
      </w:r>
    </w:p>
    <w:sdt>
      <w:sdtPr>
        <w:rPr>
          <w:rFonts w:ascii="Arial" w:eastAsia="Arial" w:hAnsi="Arial" w:cs="Arial"/>
          <w:color w:val="000000" w:themeColor="text1"/>
          <w:sz w:val="20"/>
          <w:szCs w:val="20"/>
          <w:lang w:val="es-SV"/>
        </w:rPr>
        <w:tag w:val="MENDELEY_BIBLIOGRAPHY"/>
        <w:id w:val="1378692442"/>
        <w:placeholder>
          <w:docPart w:val="DefaultPlaceholder_-1854013440"/>
        </w:placeholder>
      </w:sdtPr>
      <w:sdtEndPr/>
      <w:sdtContent>
        <w:p w14:paraId="091C886E" w14:textId="3B4ACDA1" w:rsidR="417AE02C" w:rsidRDefault="22D12205" w:rsidP="4CB620AB">
          <w:pPr>
            <w:ind w:left="640" w:hanging="640"/>
            <w:rPr>
              <w:rFonts w:ascii="Calibri" w:eastAsia="Calibri" w:hAnsi="Calibri" w:cs="Calibri"/>
              <w:color w:val="000000" w:themeColor="text1"/>
            </w:rPr>
          </w:pPr>
          <w:r w:rsidRPr="4CB620AB">
            <w:rPr>
              <w:rFonts w:ascii="Calibri" w:eastAsia="Calibri" w:hAnsi="Calibri" w:cs="Calibri"/>
              <w:color w:val="000000" w:themeColor="text1"/>
            </w:rPr>
            <w:t>1.</w:t>
          </w:r>
          <w:r w:rsidR="417AE02C">
            <w:tab/>
          </w:r>
          <w:r w:rsidRPr="4CB620AB">
            <w:rPr>
              <w:rFonts w:ascii="Calibri" w:eastAsia="Calibri" w:hAnsi="Calibri" w:cs="Calibri"/>
              <w:color w:val="000000" w:themeColor="text1"/>
            </w:rPr>
            <w:t>Barlow GB, Dickson JAS. PURPLE URINE BAGS. The Lancet. 1978 Jan 28;311(8057):220–1. doi:10.1016/S0140-6736(78)90667-0</w:t>
          </w:r>
        </w:p>
        <w:p w14:paraId="76599C6D" w14:textId="6713E01A" w:rsidR="417AE02C" w:rsidRDefault="22D12205" w:rsidP="4CB620AB">
          <w:pPr>
            <w:ind w:left="640" w:hanging="640"/>
            <w:rPr>
              <w:rFonts w:ascii="Calibri" w:eastAsia="Calibri" w:hAnsi="Calibri" w:cs="Calibri"/>
              <w:color w:val="000000" w:themeColor="text1"/>
            </w:rPr>
          </w:pPr>
          <w:r w:rsidRPr="4CB620AB">
            <w:rPr>
              <w:rFonts w:ascii="Calibri" w:eastAsia="Calibri" w:hAnsi="Calibri" w:cs="Calibri"/>
              <w:color w:val="000000" w:themeColor="text1"/>
            </w:rPr>
            <w:t>2.</w:t>
          </w:r>
          <w:r w:rsidR="417AE02C">
            <w:tab/>
          </w:r>
          <w:r w:rsidRPr="4CB620AB">
            <w:rPr>
              <w:rFonts w:ascii="Calibri" w:eastAsia="Calibri" w:hAnsi="Calibri" w:cs="Calibri"/>
              <w:color w:val="000000" w:themeColor="text1"/>
            </w:rPr>
            <w:t>Khan F, Chaudhry MA, Qureshi N, Cowley B. Purple urine bag syndrome: an alarming hue? A brief review of the literature. Int J Nephrol. 2011;2011:1–3. doi:10.4061/2011/419213 PubMed PMID: 21977321.</w:t>
          </w:r>
        </w:p>
        <w:p w14:paraId="6E6DDAF9" w14:textId="54E168E7" w:rsidR="417AE02C" w:rsidRDefault="22D12205" w:rsidP="4CB620AB">
          <w:pPr>
            <w:ind w:left="640" w:hanging="640"/>
            <w:rPr>
              <w:rFonts w:ascii="Calibri" w:eastAsia="Calibri" w:hAnsi="Calibri" w:cs="Calibri"/>
              <w:color w:val="000000" w:themeColor="text1"/>
            </w:rPr>
          </w:pPr>
          <w:r w:rsidRPr="4CB620AB">
            <w:rPr>
              <w:rFonts w:ascii="Calibri" w:eastAsia="Calibri" w:hAnsi="Calibri" w:cs="Calibri"/>
              <w:color w:val="000000" w:themeColor="text1"/>
            </w:rPr>
            <w:t>3.</w:t>
          </w:r>
          <w:r w:rsidR="417AE02C">
            <w:tab/>
          </w:r>
          <w:r w:rsidRPr="4CB620AB">
            <w:rPr>
              <w:rFonts w:ascii="Calibri" w:eastAsia="Calibri" w:hAnsi="Calibri" w:cs="Calibri"/>
              <w:color w:val="000000" w:themeColor="text1"/>
            </w:rPr>
            <w:t>Dealler SF, Hawkey PM, Millar MR. Enzymatic degradation of urinary indoxyl sulfate by Providencia stuartii and Klebsiella pneumoniae causes the purple urine bag syndrome. J Clin Microbiol. 1988;26(10):2152–6. doi:10.1128/jcm.26.10.2152-2156.1988 PubMed PMID: 2846640.</w:t>
          </w:r>
        </w:p>
        <w:p w14:paraId="5E5E1724" w14:textId="6395C19C" w:rsidR="417AE02C" w:rsidRDefault="22D12205" w:rsidP="4CB620AB">
          <w:pPr>
            <w:ind w:left="640" w:hanging="640"/>
            <w:rPr>
              <w:rFonts w:ascii="Calibri" w:eastAsia="Calibri" w:hAnsi="Calibri" w:cs="Calibri"/>
              <w:color w:val="000000" w:themeColor="text1"/>
            </w:rPr>
          </w:pPr>
          <w:r w:rsidRPr="4CB620AB">
            <w:rPr>
              <w:rFonts w:ascii="Calibri" w:eastAsia="Calibri" w:hAnsi="Calibri" w:cs="Calibri"/>
              <w:color w:val="000000" w:themeColor="text1"/>
            </w:rPr>
            <w:t>4.</w:t>
          </w:r>
          <w:r w:rsidR="417AE02C">
            <w:tab/>
          </w:r>
          <w:r w:rsidRPr="4CB620AB">
            <w:rPr>
              <w:rFonts w:ascii="Calibri" w:eastAsia="Calibri" w:hAnsi="Calibri" w:cs="Calibri"/>
              <w:color w:val="000000" w:themeColor="text1"/>
            </w:rPr>
            <w:t>Hadano Y, Shimizu T, Takada S, Inoue T, Sorano S. An update on purple urine bag syndrome. Int J Gen Med. 2012;5:707. doi:10.2147/IJGM.S35320 PubMed PMID: 22969302.</w:t>
          </w:r>
        </w:p>
        <w:p w14:paraId="29656A15" w14:textId="4D48064D" w:rsidR="417AE02C" w:rsidRDefault="22D12205" w:rsidP="4CB620AB">
          <w:pPr>
            <w:ind w:left="640" w:hanging="640"/>
            <w:rPr>
              <w:rFonts w:ascii="Calibri" w:eastAsia="Calibri" w:hAnsi="Calibri" w:cs="Calibri"/>
              <w:color w:val="000000" w:themeColor="text1"/>
            </w:rPr>
          </w:pPr>
          <w:r w:rsidRPr="4CB620AB">
            <w:rPr>
              <w:rFonts w:ascii="Calibri" w:eastAsia="Calibri" w:hAnsi="Calibri" w:cs="Calibri"/>
              <w:color w:val="000000" w:themeColor="text1"/>
            </w:rPr>
            <w:t>5.</w:t>
          </w:r>
          <w:r w:rsidR="417AE02C">
            <w:tab/>
          </w:r>
          <w:r w:rsidRPr="4CB620AB">
            <w:rPr>
              <w:rFonts w:ascii="Calibri" w:eastAsia="Calibri" w:hAnsi="Calibri" w:cs="Calibri"/>
              <w:color w:val="000000" w:themeColor="text1"/>
            </w:rPr>
            <w:t>Sabanis N, Paschou E, Papanikolaou P, Zagkotsis G. Purple Urine Bag Syndrome: More Than Eyes Can See. Curr Urol. 2019 Nov 1;13(3):125. doi:10.1159/000499281 PubMed PMID: 31933590.</w:t>
          </w:r>
        </w:p>
        <w:p w14:paraId="006B2086" w14:textId="2D10D0CA" w:rsidR="417AE02C" w:rsidRDefault="22D12205" w:rsidP="4CB620AB">
          <w:pPr>
            <w:ind w:left="640" w:hanging="640"/>
            <w:rPr>
              <w:rFonts w:ascii="Calibri" w:eastAsia="Calibri" w:hAnsi="Calibri" w:cs="Calibri"/>
              <w:color w:val="000000" w:themeColor="text1"/>
            </w:rPr>
          </w:pPr>
          <w:r w:rsidRPr="4CB620AB">
            <w:rPr>
              <w:rFonts w:ascii="Calibri" w:eastAsia="Calibri" w:hAnsi="Calibri" w:cs="Calibri"/>
              <w:color w:val="000000" w:themeColor="text1"/>
            </w:rPr>
            <w:t>6.</w:t>
          </w:r>
          <w:r w:rsidR="417AE02C">
            <w:tab/>
          </w:r>
          <w:r w:rsidRPr="4CB620AB">
            <w:rPr>
              <w:rFonts w:ascii="Calibri" w:eastAsia="Calibri" w:hAnsi="Calibri" w:cs="Calibri"/>
              <w:color w:val="000000" w:themeColor="text1"/>
            </w:rPr>
            <w:t>Yu Y, Singh H, Tsitrin T, Bekele S, Lin YH, Sikorski P, et al. Urethral Catheter Biofilms Reveal Plasticity in Bacterial Composition and Metabolism and Withstand Host Immune Defenses in Hypoxic Environment. Front Med (Lausanne). 2021 Jun 23;8:667462. doi:10.3389/fmed.2021.667462</w:t>
          </w:r>
        </w:p>
        <w:p w14:paraId="459BF1F9" w14:textId="3334744E" w:rsidR="417AE02C" w:rsidRDefault="22D12205" w:rsidP="4CB620AB">
          <w:pPr>
            <w:ind w:left="640" w:hanging="640"/>
            <w:rPr>
              <w:rFonts w:ascii="Calibri" w:eastAsia="Calibri" w:hAnsi="Calibri" w:cs="Calibri"/>
              <w:color w:val="000000" w:themeColor="text1"/>
            </w:rPr>
          </w:pPr>
          <w:r w:rsidRPr="4CB620AB">
            <w:rPr>
              <w:rFonts w:ascii="Calibri" w:eastAsia="Calibri" w:hAnsi="Calibri" w:cs="Calibri"/>
              <w:color w:val="000000" w:themeColor="text1"/>
            </w:rPr>
            <w:t>7.</w:t>
          </w:r>
          <w:r w:rsidR="417AE02C">
            <w:tab/>
          </w:r>
          <w:r w:rsidRPr="4CB620AB">
            <w:rPr>
              <w:rFonts w:ascii="Calibri" w:eastAsia="Calibri" w:hAnsi="Calibri" w:cs="Calibri"/>
              <w:color w:val="000000" w:themeColor="text1"/>
            </w:rPr>
            <w:t>Bar-Or D, Rael LT, Bar-Or R, Craun ML, Statz J, Garrett RE. Mass spectrometry analysis of urine and catheter of a patient with purple urinary bag syndrome. Clinica Chimica Acta. 2007 Mar 1;378(1–2):216–8. doi:10.1016/j.cca.2006.11.015 PubMed PMID: 17196573.</w:t>
          </w:r>
        </w:p>
        <w:p w14:paraId="5D650FC6" w14:textId="21B177E6" w:rsidR="417AE02C" w:rsidRDefault="22D12205" w:rsidP="4CB620AB">
          <w:pPr>
            <w:ind w:left="640" w:hanging="640"/>
            <w:rPr>
              <w:rFonts w:ascii="Calibri" w:eastAsia="Calibri" w:hAnsi="Calibri" w:cs="Calibri"/>
              <w:color w:val="000000" w:themeColor="text1"/>
            </w:rPr>
          </w:pPr>
          <w:r w:rsidRPr="4CB620AB">
            <w:rPr>
              <w:rFonts w:ascii="Calibri" w:eastAsia="Calibri" w:hAnsi="Calibri" w:cs="Calibri"/>
              <w:color w:val="000000" w:themeColor="text1"/>
            </w:rPr>
            <w:t>8.</w:t>
          </w:r>
          <w:r w:rsidR="417AE02C">
            <w:tab/>
          </w:r>
          <w:r w:rsidRPr="4CB620AB">
            <w:rPr>
              <w:rFonts w:ascii="Calibri" w:eastAsia="Calibri" w:hAnsi="Calibri" w:cs="Calibri"/>
              <w:color w:val="000000" w:themeColor="text1"/>
            </w:rPr>
            <w:t>Yang HW, Su YJ. Trends in the epidemiology of purple urine bag syndrome: A systematic review. Biomed Rep. 2018 Mar 1;8(3):249. doi:10.3892/br.2018.1046 PubMed PMID: 29564123.</w:t>
          </w:r>
        </w:p>
        <w:p w14:paraId="42FD8BE9" w14:textId="0D1F11FC" w:rsidR="417AE02C" w:rsidRDefault="22D12205" w:rsidP="4CB620AB">
          <w:pPr>
            <w:rPr>
              <w:rFonts w:ascii="Calibri" w:eastAsia="Calibri" w:hAnsi="Calibri" w:cs="Calibri"/>
              <w:color w:val="000000" w:themeColor="text1"/>
            </w:rPr>
          </w:pPr>
          <w:r w:rsidRPr="4CB620AB">
            <w:rPr>
              <w:rFonts w:ascii="Calibri" w:eastAsia="Calibri" w:hAnsi="Calibri" w:cs="Calibri"/>
              <w:color w:val="000000" w:themeColor="text1"/>
            </w:rPr>
            <w:t xml:space="preserve"> </w:t>
          </w:r>
        </w:p>
      </w:sdtContent>
    </w:sdt>
    <w:p w14:paraId="68EB372C" w14:textId="315B1DA4" w:rsidR="2F9BF80F" w:rsidRDefault="2F9BF80F" w:rsidP="2F9BF80F">
      <w:pPr>
        <w:pStyle w:val="Body"/>
        <w:spacing w:line="360" w:lineRule="auto"/>
        <w:jc w:val="both"/>
        <w:rPr>
          <w:rStyle w:val="None"/>
          <w:rFonts w:ascii="Arial" w:hAnsi="Arial"/>
          <w:b/>
          <w:bCs/>
          <w:sz w:val="20"/>
          <w:szCs w:val="20"/>
        </w:rPr>
      </w:pPr>
    </w:p>
    <w:p w14:paraId="64D20940" w14:textId="00CFB359" w:rsidR="00D31E8C" w:rsidRDefault="00D31E8C" w:rsidP="301AEF76">
      <w:pPr>
        <w:pStyle w:val="Body"/>
        <w:spacing w:line="360" w:lineRule="auto"/>
        <w:jc w:val="both"/>
        <w:rPr>
          <w:rStyle w:val="None"/>
          <w:rFonts w:ascii="Arial" w:hAnsi="Arial"/>
          <w:b/>
          <w:bCs/>
          <w:sz w:val="20"/>
          <w:szCs w:val="20"/>
        </w:rPr>
      </w:pPr>
    </w:p>
    <w:p w14:paraId="1850691C" w14:textId="0D07120B" w:rsidR="00D31E8C" w:rsidRDefault="00D31E8C" w:rsidP="301AEF76">
      <w:pPr>
        <w:pStyle w:val="Body"/>
        <w:spacing w:line="360" w:lineRule="auto"/>
        <w:jc w:val="both"/>
        <w:rPr>
          <w:rStyle w:val="None"/>
          <w:rFonts w:ascii="Arial" w:hAnsi="Arial"/>
          <w:b/>
          <w:bCs/>
          <w:sz w:val="20"/>
          <w:szCs w:val="20"/>
        </w:rPr>
      </w:pPr>
    </w:p>
    <w:p w14:paraId="790FAF99" w14:textId="4CED8963" w:rsidR="00D31E8C" w:rsidRDefault="00D31E8C" w:rsidP="301AEF76">
      <w:pPr>
        <w:pStyle w:val="Body"/>
        <w:spacing w:line="360" w:lineRule="auto"/>
        <w:jc w:val="both"/>
        <w:rPr>
          <w:rStyle w:val="None"/>
          <w:rFonts w:ascii="Arial" w:hAnsi="Arial"/>
          <w:b/>
          <w:bCs/>
          <w:sz w:val="20"/>
          <w:szCs w:val="20"/>
        </w:rPr>
      </w:pPr>
    </w:p>
    <w:p w14:paraId="518539D5" w14:textId="6CAF5A84" w:rsidR="00D31E8C" w:rsidRDefault="00D31E8C" w:rsidP="301AEF76">
      <w:pPr>
        <w:pStyle w:val="Body"/>
        <w:spacing w:line="360" w:lineRule="auto"/>
        <w:jc w:val="both"/>
        <w:rPr>
          <w:rStyle w:val="None"/>
          <w:rFonts w:ascii="Arial" w:hAnsi="Arial"/>
          <w:b/>
          <w:bCs/>
          <w:sz w:val="20"/>
          <w:szCs w:val="20"/>
        </w:rPr>
      </w:pPr>
    </w:p>
    <w:p w14:paraId="10A85E36" w14:textId="37B41DAE" w:rsidR="00D31E8C" w:rsidRDefault="00D31E8C" w:rsidP="301AEF76">
      <w:pPr>
        <w:pStyle w:val="Body"/>
        <w:spacing w:line="360" w:lineRule="auto"/>
        <w:jc w:val="both"/>
        <w:rPr>
          <w:rStyle w:val="None"/>
          <w:rFonts w:ascii="Arial" w:hAnsi="Arial"/>
          <w:b/>
          <w:bCs/>
          <w:sz w:val="20"/>
          <w:szCs w:val="20"/>
        </w:rPr>
      </w:pPr>
    </w:p>
    <w:p w14:paraId="73726F4F" w14:textId="6BF13436" w:rsidR="00D31E8C" w:rsidRDefault="00D31E8C" w:rsidP="301AEF76">
      <w:pPr>
        <w:pStyle w:val="Body"/>
        <w:spacing w:line="360" w:lineRule="auto"/>
        <w:jc w:val="both"/>
        <w:rPr>
          <w:rStyle w:val="None"/>
          <w:rFonts w:ascii="Arial" w:hAnsi="Arial"/>
          <w:b/>
          <w:bCs/>
          <w:sz w:val="20"/>
          <w:szCs w:val="20"/>
        </w:rPr>
      </w:pPr>
    </w:p>
    <w:p w14:paraId="72319608" w14:textId="7EA59DF0" w:rsidR="00D31E8C" w:rsidRDefault="00D31E8C" w:rsidP="301AEF76">
      <w:pPr>
        <w:pStyle w:val="Body"/>
        <w:spacing w:line="360" w:lineRule="auto"/>
        <w:jc w:val="both"/>
        <w:rPr>
          <w:rStyle w:val="None"/>
          <w:rFonts w:ascii="Arial" w:hAnsi="Arial"/>
          <w:b/>
          <w:bCs/>
          <w:sz w:val="20"/>
          <w:szCs w:val="20"/>
        </w:rPr>
      </w:pPr>
    </w:p>
    <w:p w14:paraId="0B1F1310" w14:textId="1F0134B4" w:rsidR="00D31E8C" w:rsidRDefault="4328195F" w:rsidP="2F9BF80F">
      <w:pPr>
        <w:pStyle w:val="Body"/>
        <w:spacing w:line="360" w:lineRule="auto"/>
        <w:jc w:val="both"/>
        <w:rPr>
          <w:rStyle w:val="None"/>
          <w:rFonts w:ascii="Arial" w:eastAsia="Arial" w:hAnsi="Arial" w:cs="Arial"/>
          <w:b/>
          <w:bCs/>
          <w:sz w:val="20"/>
          <w:szCs w:val="20"/>
        </w:rPr>
      </w:pPr>
      <w:r w:rsidRPr="301AEF76">
        <w:rPr>
          <w:rStyle w:val="None"/>
          <w:rFonts w:ascii="Arial" w:hAnsi="Arial"/>
          <w:b/>
          <w:bCs/>
          <w:sz w:val="20"/>
          <w:szCs w:val="20"/>
        </w:rPr>
        <w:lastRenderedPageBreak/>
        <w:t>FIGURES AND TABLES.</w:t>
      </w:r>
    </w:p>
    <w:p w14:paraId="5405AF6A" w14:textId="5D3F855D" w:rsidR="00D31E8C" w:rsidRDefault="3831105B" w:rsidP="2F9BF80F">
      <w:pPr>
        <w:pStyle w:val="Body"/>
        <w:spacing w:line="360" w:lineRule="auto"/>
        <w:jc w:val="both"/>
        <w:rPr>
          <w:rStyle w:val="None"/>
          <w:rFonts w:ascii="Arial" w:eastAsia="Arial" w:hAnsi="Arial" w:cs="Arial"/>
          <w:b/>
          <w:bCs/>
          <w:color w:val="auto"/>
          <w:sz w:val="20"/>
          <w:szCs w:val="20"/>
        </w:rPr>
      </w:pPr>
      <w:r>
        <w:rPr>
          <w:noProof/>
        </w:rPr>
        <w:drawing>
          <wp:inline distT="0" distB="0" distL="0" distR="0" wp14:anchorId="23823925" wp14:editId="10895976">
            <wp:extent cx="3092450" cy="2819587"/>
            <wp:effectExtent l="0" t="0" r="0" b="0"/>
            <wp:docPr id="1674285766" name="officeArt object" descr="unknown.png"/>
            <wp:cNvGraphicFramePr/>
            <a:graphic xmlns:a="http://schemas.openxmlformats.org/drawingml/2006/main">
              <a:graphicData uri="http://schemas.openxmlformats.org/drawingml/2006/picture">
                <pic:pic xmlns:pic="http://schemas.openxmlformats.org/drawingml/2006/picture">
                  <pic:nvPicPr>
                    <pic:cNvPr id="1073741826" name="unknown.png" descr="unknown.png"/>
                    <pic:cNvPicPr>
                      <a:picLocks noChangeAspect="1"/>
                    </pic:cNvPicPr>
                  </pic:nvPicPr>
                  <pic:blipFill>
                    <a:blip r:embed="rId12"/>
                    <a:stretch>
                      <a:fillRect/>
                    </a:stretch>
                  </pic:blipFill>
                  <pic:spPr>
                    <a:xfrm>
                      <a:off x="0" y="0"/>
                      <a:ext cx="3092450" cy="2819587"/>
                    </a:xfrm>
                    <a:prstGeom prst="rect">
                      <a:avLst/>
                    </a:prstGeom>
                    <a:ln w="12700" cap="flat">
                      <a:noFill/>
                      <a:miter lim="400000"/>
                    </a:ln>
                    <a:effectLst/>
                  </pic:spPr>
                </pic:pic>
              </a:graphicData>
            </a:graphic>
          </wp:inline>
        </w:drawing>
      </w:r>
    </w:p>
    <w:p w14:paraId="422B1651" w14:textId="2823BD63" w:rsidR="00D31E8C" w:rsidRDefault="4328195F" w:rsidP="301AEF76">
      <w:pPr>
        <w:pStyle w:val="Body"/>
        <w:spacing w:line="360" w:lineRule="auto"/>
        <w:jc w:val="both"/>
        <w:rPr>
          <w:rStyle w:val="None"/>
          <w:rFonts w:ascii="Arial" w:eastAsia="Arial" w:hAnsi="Arial" w:cs="Arial"/>
          <w:b/>
          <w:bCs/>
          <w:color w:val="auto"/>
          <w:sz w:val="20"/>
          <w:szCs w:val="20"/>
        </w:rPr>
      </w:pPr>
      <w:bookmarkStart w:id="7" w:name="_Hlk41333818"/>
      <w:r w:rsidRPr="301AEF76">
        <w:rPr>
          <w:rStyle w:val="None"/>
          <w:rFonts w:ascii="Arial" w:eastAsia="Arial" w:hAnsi="Arial" w:cs="Arial"/>
          <w:b/>
          <w:bCs/>
          <w:color w:val="auto"/>
          <w:sz w:val="20"/>
          <w:szCs w:val="20"/>
        </w:rPr>
        <w:t>F</w:t>
      </w:r>
      <w:bookmarkEnd w:id="7"/>
      <w:r w:rsidRPr="301AEF76">
        <w:rPr>
          <w:rStyle w:val="None"/>
          <w:rFonts w:ascii="Arial" w:eastAsia="Arial" w:hAnsi="Arial" w:cs="Arial"/>
          <w:b/>
          <w:bCs/>
          <w:color w:val="auto"/>
          <w:sz w:val="20"/>
          <w:szCs w:val="20"/>
        </w:rPr>
        <w:t xml:space="preserve">igure 1. </w:t>
      </w:r>
      <w:r w:rsidRPr="301AEF76">
        <w:rPr>
          <w:rStyle w:val="None"/>
          <w:rFonts w:ascii="Arial" w:eastAsia="Arial" w:hAnsi="Arial" w:cs="Arial"/>
          <w:color w:val="auto"/>
          <w:sz w:val="20"/>
          <w:szCs w:val="20"/>
        </w:rPr>
        <w:t>Urine Bag Discoloration Before and After Treatment</w:t>
      </w:r>
    </w:p>
    <w:p w14:paraId="331C531C" w14:textId="65D7654E" w:rsidR="00D31E8C" w:rsidRDefault="7893A4BB" w:rsidP="301AEF76">
      <w:pPr>
        <w:pStyle w:val="Body"/>
        <w:spacing w:line="360" w:lineRule="auto"/>
        <w:jc w:val="both"/>
        <w:rPr>
          <w:rFonts w:ascii="Arial" w:eastAsia="Arial" w:hAnsi="Arial" w:cs="Arial"/>
          <w:color w:val="FFFFFF" w:themeColor="background1"/>
          <w:sz w:val="20"/>
          <w:szCs w:val="20"/>
          <w:lang w:val="en-US"/>
        </w:rPr>
      </w:pPr>
      <w:r w:rsidRPr="301AEF76">
        <w:rPr>
          <w:rFonts w:ascii="Arial" w:eastAsia="Arial" w:hAnsi="Arial" w:cs="Arial"/>
          <w:b/>
          <w:bCs/>
          <w:color w:val="auto"/>
          <w:sz w:val="20"/>
          <w:szCs w:val="20"/>
          <w:lang w:val="en-US"/>
        </w:rPr>
        <w:t>(Left)</w:t>
      </w:r>
      <w:r w:rsidRPr="301AEF76">
        <w:rPr>
          <w:rFonts w:ascii="Arial" w:eastAsia="Arial" w:hAnsi="Arial" w:cs="Arial"/>
          <w:color w:val="auto"/>
          <w:sz w:val="20"/>
          <w:szCs w:val="20"/>
          <w:lang w:val="en-US"/>
        </w:rPr>
        <w:t xml:space="preserve"> Characteristic purple discoloration </w:t>
      </w:r>
      <w:r w:rsidR="62F4B10B" w:rsidRPr="301AEF76">
        <w:rPr>
          <w:rFonts w:ascii="Arial" w:eastAsia="Arial" w:hAnsi="Arial" w:cs="Arial"/>
          <w:color w:val="000000" w:themeColor="text1"/>
          <w:sz w:val="20"/>
          <w:szCs w:val="20"/>
          <w:lang w:val="en-US"/>
        </w:rPr>
        <w:t xml:space="preserve">predominantly </w:t>
      </w:r>
      <w:bookmarkStart w:id="8" w:name="_Int_8k2ClWfV"/>
      <w:r w:rsidR="62F4B10B" w:rsidRPr="301AEF76">
        <w:rPr>
          <w:rFonts w:ascii="Arial" w:eastAsia="Arial" w:hAnsi="Arial" w:cs="Arial"/>
          <w:color w:val="000000" w:themeColor="text1"/>
          <w:sz w:val="20"/>
          <w:szCs w:val="20"/>
          <w:lang w:val="en-US"/>
        </w:rPr>
        <w:t>affecting</w:t>
      </w:r>
      <w:bookmarkEnd w:id="8"/>
      <w:r w:rsidR="62F4B10B" w:rsidRPr="301AEF76">
        <w:rPr>
          <w:rFonts w:ascii="Arial" w:eastAsia="Arial" w:hAnsi="Arial" w:cs="Arial"/>
          <w:color w:val="000000" w:themeColor="text1"/>
          <w:sz w:val="20"/>
          <w:szCs w:val="20"/>
          <w:lang w:val="en-US"/>
        </w:rPr>
        <w:t xml:space="preserve"> the synthetic plastic components of the urinary drainage system (catheter tubing and collection bag) rather than the freshly voided urine</w:t>
      </w:r>
      <w:r w:rsidR="44527E82" w:rsidRPr="301AEF76">
        <w:rPr>
          <w:rFonts w:ascii="Arial" w:eastAsia="Arial" w:hAnsi="Arial" w:cs="Arial"/>
          <w:color w:val="000000" w:themeColor="text1"/>
          <w:sz w:val="20"/>
          <w:szCs w:val="20"/>
          <w:lang w:val="en-US"/>
        </w:rPr>
        <w:t>.</w:t>
      </w:r>
      <w:r w:rsidRPr="301AEF76">
        <w:rPr>
          <w:rFonts w:ascii="Arial" w:eastAsia="Arial" w:hAnsi="Arial" w:cs="Arial"/>
          <w:color w:val="auto"/>
          <w:sz w:val="20"/>
          <w:szCs w:val="20"/>
          <w:lang w:val="en-US"/>
        </w:rPr>
        <w:t xml:space="preserve"> </w:t>
      </w:r>
      <w:r w:rsidRPr="301AEF76">
        <w:rPr>
          <w:rFonts w:ascii="Arial" w:eastAsia="Arial" w:hAnsi="Arial" w:cs="Arial"/>
          <w:b/>
          <w:bCs/>
          <w:color w:val="auto"/>
          <w:sz w:val="20"/>
          <w:szCs w:val="20"/>
          <w:lang w:val="en-US"/>
        </w:rPr>
        <w:t>(Right)</w:t>
      </w:r>
      <w:r w:rsidRPr="301AEF76">
        <w:rPr>
          <w:rFonts w:ascii="Arial" w:eastAsia="Arial" w:hAnsi="Arial" w:cs="Arial"/>
          <w:color w:val="auto"/>
          <w:sz w:val="20"/>
          <w:szCs w:val="20"/>
          <w:lang w:val="en-US"/>
        </w:rPr>
        <w:t xml:space="preserve"> </w:t>
      </w:r>
      <w:r w:rsidR="67056C5E" w:rsidRPr="301AEF76">
        <w:rPr>
          <w:rFonts w:ascii="Arial" w:eastAsia="Arial" w:hAnsi="Arial" w:cs="Arial"/>
          <w:color w:val="auto"/>
          <w:sz w:val="20"/>
          <w:szCs w:val="20"/>
          <w:lang w:val="en-US"/>
        </w:rPr>
        <w:t>Absence</w:t>
      </w:r>
      <w:r w:rsidRPr="301AEF76">
        <w:rPr>
          <w:rFonts w:ascii="Arial" w:eastAsia="Arial" w:hAnsi="Arial" w:cs="Arial"/>
          <w:color w:val="auto"/>
          <w:sz w:val="20"/>
          <w:szCs w:val="20"/>
          <w:lang w:val="en-US"/>
        </w:rPr>
        <w:t xml:space="preserve"> of discoloration following targeted antibiotic therapy and catheter replacement. </w:t>
      </w:r>
    </w:p>
    <w:p w14:paraId="0A040289" w14:textId="30DBBADD" w:rsidR="00D31E8C" w:rsidRDefault="00D31E8C" w:rsidP="2F9BF80F">
      <w:pPr>
        <w:pStyle w:val="Body"/>
        <w:spacing w:line="360" w:lineRule="auto"/>
        <w:jc w:val="both"/>
        <w:rPr>
          <w:rFonts w:ascii="Arial" w:eastAsia="Arial" w:hAnsi="Arial" w:cs="Arial"/>
          <w:color w:val="auto"/>
        </w:rPr>
      </w:pPr>
    </w:p>
    <w:p w14:paraId="56E204D4" w14:textId="77777777" w:rsidR="00D31E8C" w:rsidRDefault="00D31E8C" w:rsidP="2F9BF80F">
      <w:pPr>
        <w:pStyle w:val="Body"/>
        <w:spacing w:line="360" w:lineRule="auto"/>
        <w:jc w:val="both"/>
        <w:rPr>
          <w:rStyle w:val="None"/>
          <w:rFonts w:ascii="Arial" w:eastAsia="Arial" w:hAnsi="Arial" w:cs="Arial"/>
          <w:color w:val="auto"/>
          <w:sz w:val="20"/>
          <w:szCs w:val="20"/>
        </w:rPr>
      </w:pPr>
    </w:p>
    <w:p w14:paraId="37E028A9" w14:textId="77777777" w:rsidR="00D31E8C" w:rsidRDefault="00D31E8C">
      <w:pPr>
        <w:pStyle w:val="Body"/>
        <w:spacing w:line="360" w:lineRule="auto"/>
        <w:jc w:val="both"/>
        <w:rPr>
          <w:rStyle w:val="None"/>
          <w:rFonts w:ascii="Arial" w:eastAsia="Arial" w:hAnsi="Arial" w:cs="Arial"/>
          <w:sz w:val="20"/>
          <w:szCs w:val="20"/>
        </w:rPr>
      </w:pPr>
    </w:p>
    <w:p w14:paraId="2D84A799" w14:textId="77777777" w:rsidR="00D31E8C" w:rsidRDefault="00D31E8C">
      <w:pPr>
        <w:pStyle w:val="Body"/>
        <w:spacing w:line="360" w:lineRule="auto"/>
        <w:jc w:val="both"/>
        <w:rPr>
          <w:rStyle w:val="None"/>
          <w:rFonts w:ascii="Arial" w:eastAsia="Arial" w:hAnsi="Arial" w:cs="Arial"/>
          <w:sz w:val="20"/>
          <w:szCs w:val="20"/>
        </w:rPr>
      </w:pPr>
      <w:bookmarkStart w:id="9" w:name="_Hlk41334926"/>
    </w:p>
    <w:bookmarkEnd w:id="9"/>
    <w:p w14:paraId="551E6801" w14:textId="77777777" w:rsidR="00D31E8C" w:rsidRDefault="00D31E8C">
      <w:pPr>
        <w:pStyle w:val="Body"/>
        <w:spacing w:line="360" w:lineRule="auto"/>
        <w:jc w:val="both"/>
      </w:pPr>
    </w:p>
    <w:sectPr w:rsidR="00D31E8C">
      <w:headerReference w:type="default" r:id="rId13"/>
      <w:footerReference w:type="default" r:id="rId14"/>
      <w:pgSz w:w="11900" w:h="16840"/>
      <w:pgMar w:top="1418" w:right="1080" w:bottom="993" w:left="1080" w:header="720" w:footer="720" w:gutter="0"/>
      <w:lnNumType w:countBy="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1B6AF" w14:textId="77777777" w:rsidR="00CD2D46" w:rsidRDefault="00CD2D46">
      <w:r>
        <w:separator/>
      </w:r>
    </w:p>
  </w:endnote>
  <w:endnote w:type="continuationSeparator" w:id="0">
    <w:p w14:paraId="15B76523" w14:textId="77777777" w:rsidR="00CD2D46" w:rsidRDefault="00CD2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43" w:usb2="00000009" w:usb3="00000000" w:csb0="000001FF" w:csb1="00000000"/>
  </w:font>
  <w:font w:name="Noto Sans">
    <w:panose1 w:val="020B0502040504020204"/>
    <w:charset w:val="00"/>
    <w:family w:val="swiss"/>
    <w:pitch w:val="variable"/>
    <w:sig w:usb0="E00082FF" w:usb1="400078FF" w:usb2="00000021" w:usb3="00000000" w:csb0="0000019F" w:csb1="00000000"/>
  </w:font>
  <w:font w:name="system-ui">
    <w:altName w:val="Cambria"/>
    <w:charset w:val="00"/>
    <w:family w:val="roman"/>
    <w:notTrueType/>
    <w:pitch w:val="default"/>
  </w:font>
  <w:font w:name="Calibri">
    <w:panose1 w:val="020F0502020204030204"/>
    <w:charset w:val="00"/>
    <w:family w:val="swiss"/>
    <w:pitch w:val="variable"/>
    <w:sig w:usb0="E4002E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817A0" w14:textId="77777777" w:rsidR="00D31E8C" w:rsidRDefault="00CD2D46">
    <w:pPr>
      <w:pStyle w:val="Footer"/>
      <w:jc w:val="right"/>
    </w:pPr>
    <w:r w:rsidRPr="083073EF">
      <w:rPr>
        <w:rStyle w:val="None"/>
      </w:rPr>
      <w:fldChar w:fldCharType="begin"/>
    </w:r>
    <w:r w:rsidRPr="083073EF">
      <w:rPr>
        <w:rStyle w:val="None"/>
      </w:rPr>
      <w:instrText xml:space="preserve"> PAGE </w:instrText>
    </w:r>
    <w:r w:rsidRPr="083073EF">
      <w:rPr>
        <w:rStyle w:val="None"/>
      </w:rPr>
      <w:fldChar w:fldCharType="separate"/>
    </w:r>
    <w:r w:rsidR="083073EF" w:rsidRPr="083073EF">
      <w:rPr>
        <w:rStyle w:val="None"/>
      </w:rPr>
      <w:t>1</w:t>
    </w:r>
    <w:r w:rsidRPr="083073EF">
      <w:rPr>
        <w:rStyle w:val="None"/>
      </w:rPr>
      <w:fldChar w:fldCharType="end"/>
    </w:r>
  </w:p>
  <w:p w14:paraId="50EF0F58" w14:textId="77777777" w:rsidR="00D31E8C" w:rsidRDefault="00CD2D46">
    <w:pPr>
      <w:pStyle w:val="Footer"/>
    </w:pPr>
    <w:r>
      <w:rPr>
        <w:rStyle w:val="None"/>
        <w:rFonts w:eastAsia="Arial Unicode MS" w:cs="Arial Unicode MS"/>
      </w:rPr>
      <w:t>IJMS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C88FD" w14:textId="77777777" w:rsidR="00CD2D46" w:rsidRDefault="00CD2D46">
      <w:r>
        <w:separator/>
      </w:r>
    </w:p>
  </w:footnote>
  <w:footnote w:type="continuationSeparator" w:id="0">
    <w:p w14:paraId="37149F08" w14:textId="77777777" w:rsidR="00CD2D46" w:rsidRDefault="00CD2D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10A6F" w14:textId="77777777" w:rsidR="00D31E8C" w:rsidRDefault="00CD2D46">
    <w:pPr>
      <w:pStyle w:val="Header"/>
      <w:spacing w:after="200"/>
      <w:jc w:val="right"/>
    </w:pPr>
    <w:r>
      <w:rPr>
        <w:noProof/>
      </w:rPr>
      <w:drawing>
        <wp:anchor distT="152400" distB="152400" distL="152400" distR="152400" simplePos="0" relativeHeight="251658240" behindDoc="1" locked="0" layoutInCell="1" allowOverlap="1" wp14:anchorId="2152E8EF" wp14:editId="04BEE182">
          <wp:simplePos x="0" y="0"/>
          <wp:positionH relativeFrom="page">
            <wp:posOffset>640080</wp:posOffset>
          </wp:positionH>
          <wp:positionV relativeFrom="page">
            <wp:posOffset>201509</wp:posOffset>
          </wp:positionV>
          <wp:extent cx="540689" cy="540689"/>
          <wp:effectExtent l="0" t="0" r="0" b="0"/>
          <wp:wrapNone/>
          <wp:docPr id="1073741825" name="officeArt object"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TextDescription automatically generated" descr="TextDescription automatically generated"/>
                  <pic:cNvPicPr>
                    <a:picLocks noChangeAspect="1"/>
                  </pic:cNvPicPr>
                </pic:nvPicPr>
                <pic:blipFill>
                  <a:blip r:embed="rId1"/>
                  <a:stretch>
                    <a:fillRect/>
                  </a:stretch>
                </pic:blipFill>
                <pic:spPr>
                  <a:xfrm>
                    <a:off x="0" y="0"/>
                    <a:ext cx="540689" cy="540689"/>
                  </a:xfrm>
                  <a:prstGeom prst="rect">
                    <a:avLst/>
                  </a:prstGeom>
                  <a:ln w="12700" cap="flat">
                    <a:noFill/>
                    <a:miter lim="400000"/>
                  </a:ln>
                  <a:effectLst/>
                </pic:spPr>
              </pic:pic>
            </a:graphicData>
          </a:graphic>
        </wp:anchor>
      </w:drawing>
    </w:r>
    <w:r>
      <w:rPr>
        <w:rStyle w:val="None"/>
        <w:rFonts w:ascii="Arial" w:hAnsi="Arial"/>
        <w:sz w:val="20"/>
        <w:szCs w:val="20"/>
      </w:rPr>
      <w:t>International Journal of Medical Students</w:t>
    </w:r>
  </w:p>
</w:hdr>
</file>

<file path=word/intelligence2.xml><?xml version="1.0" encoding="utf-8"?>
<int2:intelligence xmlns:int2="http://schemas.microsoft.com/office/intelligence/2020/intelligence" xmlns:oel="http://schemas.microsoft.com/office/2019/extlst">
  <int2:observations>
    <int2:textHash int2:hashCode="3gT6Din5s14kkF" int2:id="Wyxf5Wlq">
      <int2:state int2:value="Rejected" int2:type="spell"/>
    </int2:textHash>
    <int2:textHash int2:hashCode="9DFXOZP5Jqq1sN" int2:id="HEI6qp9x">
      <int2:state int2:value="Rejected" int2:type="spell"/>
    </int2:textHash>
    <int2:textHash int2:hashCode="0e9HMexcLh8mkV" int2:id="SXn45kMl">
      <int2:state int2:value="Rejected" int2:type="spell"/>
    </int2:textHash>
    <int2:textHash int2:hashCode="UJgCD2OOQX8vDp" int2:id="sU5N4Ww8">
      <int2:state int2:value="Rejected" int2:type="spell"/>
    </int2:textHash>
    <int2:bookmark int2:bookmarkName="_Int_8k2ClWfV" int2:invalidationBookmarkName="" int2:hashCode="8vWJEpuO3Z6oT7" int2:id="2Dl3846Q">
      <int2:state int2:value="Rejected" int2:type="gram"/>
    </int2:bookmark>
    <int2:bookmark int2:bookmarkName="_Int_PKppKFbU" int2:invalidationBookmarkName="" int2:hashCode="WfUjzEKHpLTVDA" int2:id="mOcYFNDZ">
      <int2:state int2:value="Rejected" int2:type="gram"/>
    </int2:bookmark>
    <int2:bookmark int2:bookmarkName="_Int_c9pKYX69" int2:invalidationBookmarkName="" int2:hashCode="Uyc10Rgghj6x10" int2:id="8xpSdWPX">
      <int2:state int2:value="Rejected" int2:type="gram"/>
    </int2:bookmark>
    <int2:bookmark int2:bookmarkName="_Int_jfclFybu" int2:invalidationBookmarkName="" int2:hashCode="CFUAnEZyilyMua" int2:id="FkAOHpop">
      <int2:state int2:value="Rejected" int2:type="gram"/>
    </int2:bookmark>
    <int2:bookmark int2:bookmarkName="_Int_6m1gM7gu" int2:invalidationBookmarkName="" int2:hashCode="5XbEIrZUZjcCiu" int2:id="KMxKiZ1Q">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24A95"/>
    <w:multiLevelType w:val="hybridMultilevel"/>
    <w:tmpl w:val="F0F6A756"/>
    <w:styleLink w:val="ImportedStyle4"/>
    <w:lvl w:ilvl="0" w:tplc="37984E6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82A19D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5F6C90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F8A13D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AF0B37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AF807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1FA408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58282D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0445D1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F5A02F8"/>
    <w:multiLevelType w:val="hybridMultilevel"/>
    <w:tmpl w:val="1558422C"/>
    <w:styleLink w:val="ImportedStyle3"/>
    <w:lvl w:ilvl="0" w:tplc="01543D98">
      <w:start w:val="1"/>
      <w:numFmt w:val="decimal"/>
      <w:lvlText w:val="%1."/>
      <w:lvlJc w:val="left"/>
      <w:pPr>
        <w:tabs>
          <w:tab w:val="left" w:pos="144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AFAA1B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CF4ADDA">
      <w:start w:val="1"/>
      <w:numFmt w:val="lowerRoman"/>
      <w:lvlText w:val="%3."/>
      <w:lvlJc w:val="left"/>
      <w:pPr>
        <w:tabs>
          <w:tab w:val="left" w:pos="1440"/>
        </w:tabs>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23A6F2CA">
      <w:start w:val="1"/>
      <w:numFmt w:val="decimal"/>
      <w:lvlText w:val="%4."/>
      <w:lvlJc w:val="left"/>
      <w:pPr>
        <w:tabs>
          <w:tab w:val="left" w:pos="144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04836A8">
      <w:start w:val="1"/>
      <w:numFmt w:val="lowerLetter"/>
      <w:lvlText w:val="%5."/>
      <w:lvlJc w:val="left"/>
      <w:pPr>
        <w:tabs>
          <w:tab w:val="left" w:pos="144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C02DA20">
      <w:start w:val="1"/>
      <w:numFmt w:val="lowerRoman"/>
      <w:lvlText w:val="%6."/>
      <w:lvlJc w:val="left"/>
      <w:pPr>
        <w:tabs>
          <w:tab w:val="left" w:pos="1440"/>
        </w:tabs>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9A844340">
      <w:start w:val="1"/>
      <w:numFmt w:val="decimal"/>
      <w:lvlText w:val="%7."/>
      <w:lvlJc w:val="left"/>
      <w:pPr>
        <w:tabs>
          <w:tab w:val="left" w:pos="144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9BC1A32">
      <w:start w:val="1"/>
      <w:numFmt w:val="lowerLetter"/>
      <w:lvlText w:val="%8."/>
      <w:lvlJc w:val="left"/>
      <w:pPr>
        <w:tabs>
          <w:tab w:val="left" w:pos="144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C76F80E">
      <w:start w:val="1"/>
      <w:numFmt w:val="lowerRoman"/>
      <w:lvlText w:val="%9."/>
      <w:lvlJc w:val="left"/>
      <w:pPr>
        <w:tabs>
          <w:tab w:val="left" w:pos="1440"/>
        </w:tabs>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1CCE7CE"/>
    <w:multiLevelType w:val="hybridMultilevel"/>
    <w:tmpl w:val="FFFFFFFF"/>
    <w:lvl w:ilvl="0" w:tplc="87761B06">
      <w:start w:val="1"/>
      <w:numFmt w:val="bullet"/>
      <w:lvlText w:val=""/>
      <w:lvlJc w:val="left"/>
      <w:pPr>
        <w:ind w:left="720" w:hanging="360"/>
      </w:pPr>
      <w:rPr>
        <w:rFonts w:ascii="Symbol" w:hAnsi="Symbol" w:hint="default"/>
      </w:rPr>
    </w:lvl>
    <w:lvl w:ilvl="1" w:tplc="F9387FC2">
      <w:start w:val="1"/>
      <w:numFmt w:val="bullet"/>
      <w:lvlText w:val="o"/>
      <w:lvlJc w:val="left"/>
      <w:pPr>
        <w:ind w:left="1440" w:hanging="360"/>
      </w:pPr>
      <w:rPr>
        <w:rFonts w:ascii="Courier New" w:hAnsi="Courier New" w:hint="default"/>
      </w:rPr>
    </w:lvl>
    <w:lvl w:ilvl="2" w:tplc="C49C43B4">
      <w:start w:val="1"/>
      <w:numFmt w:val="bullet"/>
      <w:lvlText w:val=""/>
      <w:lvlJc w:val="left"/>
      <w:pPr>
        <w:ind w:left="2160" w:hanging="360"/>
      </w:pPr>
      <w:rPr>
        <w:rFonts w:ascii="Wingdings" w:hAnsi="Wingdings" w:hint="default"/>
      </w:rPr>
    </w:lvl>
    <w:lvl w:ilvl="3" w:tplc="A900D6F0">
      <w:start w:val="1"/>
      <w:numFmt w:val="bullet"/>
      <w:lvlText w:val=""/>
      <w:lvlJc w:val="left"/>
      <w:pPr>
        <w:ind w:left="2880" w:hanging="360"/>
      </w:pPr>
      <w:rPr>
        <w:rFonts w:ascii="Symbol" w:hAnsi="Symbol" w:hint="default"/>
      </w:rPr>
    </w:lvl>
    <w:lvl w:ilvl="4" w:tplc="4EAC6DBE">
      <w:start w:val="1"/>
      <w:numFmt w:val="bullet"/>
      <w:lvlText w:val="o"/>
      <w:lvlJc w:val="left"/>
      <w:pPr>
        <w:ind w:left="3600" w:hanging="360"/>
      </w:pPr>
      <w:rPr>
        <w:rFonts w:ascii="Courier New" w:hAnsi="Courier New" w:hint="default"/>
      </w:rPr>
    </w:lvl>
    <w:lvl w:ilvl="5" w:tplc="9DB82874">
      <w:start w:val="1"/>
      <w:numFmt w:val="bullet"/>
      <w:lvlText w:val=""/>
      <w:lvlJc w:val="left"/>
      <w:pPr>
        <w:ind w:left="4320" w:hanging="360"/>
      </w:pPr>
      <w:rPr>
        <w:rFonts w:ascii="Wingdings" w:hAnsi="Wingdings" w:hint="default"/>
      </w:rPr>
    </w:lvl>
    <w:lvl w:ilvl="6" w:tplc="36444B7A">
      <w:start w:val="1"/>
      <w:numFmt w:val="bullet"/>
      <w:lvlText w:val=""/>
      <w:lvlJc w:val="left"/>
      <w:pPr>
        <w:ind w:left="5040" w:hanging="360"/>
      </w:pPr>
      <w:rPr>
        <w:rFonts w:ascii="Symbol" w:hAnsi="Symbol" w:hint="default"/>
      </w:rPr>
    </w:lvl>
    <w:lvl w:ilvl="7" w:tplc="FC1C5BC2">
      <w:start w:val="1"/>
      <w:numFmt w:val="bullet"/>
      <w:lvlText w:val="o"/>
      <w:lvlJc w:val="left"/>
      <w:pPr>
        <w:ind w:left="5760" w:hanging="360"/>
      </w:pPr>
      <w:rPr>
        <w:rFonts w:ascii="Courier New" w:hAnsi="Courier New" w:hint="default"/>
      </w:rPr>
    </w:lvl>
    <w:lvl w:ilvl="8" w:tplc="A6164800">
      <w:start w:val="1"/>
      <w:numFmt w:val="bullet"/>
      <w:lvlText w:val=""/>
      <w:lvlJc w:val="left"/>
      <w:pPr>
        <w:ind w:left="6480" w:hanging="360"/>
      </w:pPr>
      <w:rPr>
        <w:rFonts w:ascii="Wingdings" w:hAnsi="Wingdings" w:hint="default"/>
      </w:rPr>
    </w:lvl>
  </w:abstractNum>
  <w:abstractNum w:abstractNumId="3" w15:restartNumberingAfterBreak="0">
    <w:nsid w:val="229272A8"/>
    <w:multiLevelType w:val="hybridMultilevel"/>
    <w:tmpl w:val="F0F6A756"/>
    <w:numStyleLink w:val="ImportedStyle4"/>
  </w:abstractNum>
  <w:abstractNum w:abstractNumId="4" w15:restartNumberingAfterBreak="0">
    <w:nsid w:val="2DD74EB6"/>
    <w:multiLevelType w:val="hybridMultilevel"/>
    <w:tmpl w:val="A7141E42"/>
    <w:styleLink w:val="Numbered"/>
    <w:lvl w:ilvl="0" w:tplc="51E658FA">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C0B09722">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 w:ilvl="2" w:tplc="865C194C">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 w:ilvl="3" w:tplc="E0BC0FAA">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 w:ilvl="4" w:tplc="28BE7190">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 w:ilvl="5" w:tplc="2DA0A458">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 w:ilvl="6" w:tplc="3EB069DE">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 w:ilvl="7" w:tplc="C1E61F60">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 w:ilvl="8" w:tplc="E6107BD2">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16D67BC"/>
    <w:multiLevelType w:val="hybridMultilevel"/>
    <w:tmpl w:val="A7141E42"/>
    <w:numStyleLink w:val="Numbered"/>
  </w:abstractNum>
  <w:abstractNum w:abstractNumId="6" w15:restartNumberingAfterBreak="0">
    <w:nsid w:val="51242B7D"/>
    <w:multiLevelType w:val="hybridMultilevel"/>
    <w:tmpl w:val="B226DA42"/>
    <w:numStyleLink w:val="ImportedStyle1"/>
  </w:abstractNum>
  <w:abstractNum w:abstractNumId="7" w15:restartNumberingAfterBreak="0">
    <w:nsid w:val="532034AE"/>
    <w:multiLevelType w:val="hybridMultilevel"/>
    <w:tmpl w:val="1558422C"/>
    <w:numStyleLink w:val="ImportedStyle3"/>
  </w:abstractNum>
  <w:abstractNum w:abstractNumId="8" w15:restartNumberingAfterBreak="0">
    <w:nsid w:val="681C3559"/>
    <w:multiLevelType w:val="hybridMultilevel"/>
    <w:tmpl w:val="9E92D1AC"/>
    <w:styleLink w:val="ImportedStyle2"/>
    <w:lvl w:ilvl="0" w:tplc="622CA212">
      <w:start w:val="1"/>
      <w:numFmt w:val="decimal"/>
      <w:lvlText w:val="%1."/>
      <w:lvlJc w:val="left"/>
      <w:pPr>
        <w:tabs>
          <w:tab w:val="left" w:pos="144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19ADF5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62031F6">
      <w:start w:val="1"/>
      <w:numFmt w:val="lowerRoman"/>
      <w:lvlText w:val="%3."/>
      <w:lvlJc w:val="left"/>
      <w:pPr>
        <w:tabs>
          <w:tab w:val="left" w:pos="1440"/>
        </w:tabs>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3A729EC2">
      <w:start w:val="1"/>
      <w:numFmt w:val="decimal"/>
      <w:lvlText w:val="%4."/>
      <w:lvlJc w:val="left"/>
      <w:pPr>
        <w:tabs>
          <w:tab w:val="left" w:pos="144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6BC6846">
      <w:start w:val="1"/>
      <w:numFmt w:val="lowerLetter"/>
      <w:lvlText w:val="%5."/>
      <w:lvlJc w:val="left"/>
      <w:pPr>
        <w:tabs>
          <w:tab w:val="left" w:pos="144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EE80EF0">
      <w:start w:val="1"/>
      <w:numFmt w:val="lowerRoman"/>
      <w:lvlText w:val="%6."/>
      <w:lvlJc w:val="left"/>
      <w:pPr>
        <w:tabs>
          <w:tab w:val="left" w:pos="1440"/>
        </w:tabs>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73E48F7E">
      <w:start w:val="1"/>
      <w:numFmt w:val="decimal"/>
      <w:lvlText w:val="%7."/>
      <w:lvlJc w:val="left"/>
      <w:pPr>
        <w:tabs>
          <w:tab w:val="left" w:pos="144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D540E6C">
      <w:start w:val="1"/>
      <w:numFmt w:val="lowerLetter"/>
      <w:lvlText w:val="%8."/>
      <w:lvlJc w:val="left"/>
      <w:pPr>
        <w:tabs>
          <w:tab w:val="left" w:pos="144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AB459A2">
      <w:start w:val="1"/>
      <w:numFmt w:val="lowerRoman"/>
      <w:lvlText w:val="%9."/>
      <w:lvlJc w:val="left"/>
      <w:pPr>
        <w:tabs>
          <w:tab w:val="left" w:pos="1440"/>
        </w:tabs>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E7E2230"/>
    <w:multiLevelType w:val="hybridMultilevel"/>
    <w:tmpl w:val="9E92D1AC"/>
    <w:numStyleLink w:val="ImportedStyle2"/>
  </w:abstractNum>
  <w:abstractNum w:abstractNumId="10" w15:restartNumberingAfterBreak="0">
    <w:nsid w:val="7062269D"/>
    <w:multiLevelType w:val="hybridMultilevel"/>
    <w:tmpl w:val="6CE28442"/>
    <w:numStyleLink w:val="ImportedStyle5"/>
  </w:abstractNum>
  <w:abstractNum w:abstractNumId="11" w15:restartNumberingAfterBreak="0">
    <w:nsid w:val="7316693B"/>
    <w:multiLevelType w:val="hybridMultilevel"/>
    <w:tmpl w:val="B226DA42"/>
    <w:styleLink w:val="ImportedStyle1"/>
    <w:lvl w:ilvl="0" w:tplc="AFA4ADA6">
      <w:start w:val="1"/>
      <w:numFmt w:val="decimal"/>
      <w:lvlText w:val="%1."/>
      <w:lvlJc w:val="left"/>
      <w:pPr>
        <w:tabs>
          <w:tab w:val="left" w:pos="144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8DA5F4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3E8152C">
      <w:start w:val="1"/>
      <w:numFmt w:val="lowerRoman"/>
      <w:lvlText w:val="%3."/>
      <w:lvlJc w:val="left"/>
      <w:pPr>
        <w:tabs>
          <w:tab w:val="left" w:pos="1440"/>
        </w:tabs>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A3846B46">
      <w:start w:val="1"/>
      <w:numFmt w:val="decimal"/>
      <w:lvlText w:val="%4."/>
      <w:lvlJc w:val="left"/>
      <w:pPr>
        <w:tabs>
          <w:tab w:val="left" w:pos="144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7F41438">
      <w:start w:val="1"/>
      <w:numFmt w:val="lowerLetter"/>
      <w:lvlText w:val="%5."/>
      <w:lvlJc w:val="left"/>
      <w:pPr>
        <w:tabs>
          <w:tab w:val="left" w:pos="144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A60001E">
      <w:start w:val="1"/>
      <w:numFmt w:val="lowerRoman"/>
      <w:lvlText w:val="%6."/>
      <w:lvlJc w:val="left"/>
      <w:pPr>
        <w:tabs>
          <w:tab w:val="left" w:pos="1440"/>
        </w:tabs>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BB0C3BE0">
      <w:start w:val="1"/>
      <w:numFmt w:val="decimal"/>
      <w:lvlText w:val="%7."/>
      <w:lvlJc w:val="left"/>
      <w:pPr>
        <w:tabs>
          <w:tab w:val="left" w:pos="144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49AAB9C">
      <w:start w:val="1"/>
      <w:numFmt w:val="lowerLetter"/>
      <w:lvlText w:val="%8."/>
      <w:lvlJc w:val="left"/>
      <w:pPr>
        <w:tabs>
          <w:tab w:val="left" w:pos="144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172B736">
      <w:start w:val="1"/>
      <w:numFmt w:val="lowerRoman"/>
      <w:lvlText w:val="%9."/>
      <w:lvlJc w:val="left"/>
      <w:pPr>
        <w:tabs>
          <w:tab w:val="left" w:pos="1440"/>
        </w:tabs>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FBA4EB8"/>
    <w:multiLevelType w:val="hybridMultilevel"/>
    <w:tmpl w:val="6CE28442"/>
    <w:styleLink w:val="ImportedStyle5"/>
    <w:lvl w:ilvl="0" w:tplc="393ABF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942284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B08744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286267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BD450B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82ECEC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A64345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7E2841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4107D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2146921546">
    <w:abstractNumId w:val="2"/>
  </w:num>
  <w:num w:numId="2" w16cid:durableId="840924068">
    <w:abstractNumId w:val="11"/>
  </w:num>
  <w:num w:numId="3" w16cid:durableId="466515435">
    <w:abstractNumId w:val="6"/>
  </w:num>
  <w:num w:numId="4" w16cid:durableId="245771395">
    <w:abstractNumId w:val="8"/>
  </w:num>
  <w:num w:numId="5" w16cid:durableId="1335037286">
    <w:abstractNumId w:val="9"/>
  </w:num>
  <w:num w:numId="6" w16cid:durableId="351344512">
    <w:abstractNumId w:val="1"/>
  </w:num>
  <w:num w:numId="7" w16cid:durableId="139618911">
    <w:abstractNumId w:val="7"/>
  </w:num>
  <w:num w:numId="8" w16cid:durableId="1298416314">
    <w:abstractNumId w:val="0"/>
  </w:num>
  <w:num w:numId="9" w16cid:durableId="1240558254">
    <w:abstractNumId w:val="3"/>
  </w:num>
  <w:num w:numId="10" w16cid:durableId="1901355378">
    <w:abstractNumId w:val="12"/>
  </w:num>
  <w:num w:numId="11" w16cid:durableId="614554560">
    <w:abstractNumId w:val="10"/>
  </w:num>
  <w:num w:numId="12" w16cid:durableId="70279924">
    <w:abstractNumId w:val="4"/>
  </w:num>
  <w:num w:numId="13" w16cid:durableId="842164149">
    <w:abstractNumId w:val="5"/>
  </w:num>
  <w:num w:numId="14" w16cid:durableId="846139641">
    <w:abstractNumId w:val="5"/>
    <w:lvlOverride w:ilvl="0">
      <w:lvl w:ilvl="0" w:tplc="D25E0314">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D2EB5AC">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4F429C6">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C085EA2">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954497A">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982734A">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768909E">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9C88D34">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838024C">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E8C"/>
    <w:rsid w:val="001E5E21"/>
    <w:rsid w:val="0024BA43"/>
    <w:rsid w:val="00344CF1"/>
    <w:rsid w:val="00345B38"/>
    <w:rsid w:val="003C7E5B"/>
    <w:rsid w:val="004E69AC"/>
    <w:rsid w:val="0055160B"/>
    <w:rsid w:val="006084D9"/>
    <w:rsid w:val="006A9AB1"/>
    <w:rsid w:val="008B09F1"/>
    <w:rsid w:val="008B561F"/>
    <w:rsid w:val="00B3ED65"/>
    <w:rsid w:val="00BF6E59"/>
    <w:rsid w:val="00CD2D46"/>
    <w:rsid w:val="00D31E8C"/>
    <w:rsid w:val="00F770C4"/>
    <w:rsid w:val="00FE7C47"/>
    <w:rsid w:val="010C881D"/>
    <w:rsid w:val="011CF3DC"/>
    <w:rsid w:val="017948B2"/>
    <w:rsid w:val="0185DDEF"/>
    <w:rsid w:val="01916787"/>
    <w:rsid w:val="01AC298B"/>
    <w:rsid w:val="01B3C2BD"/>
    <w:rsid w:val="01EAC489"/>
    <w:rsid w:val="01EFE90A"/>
    <w:rsid w:val="01F3EFF1"/>
    <w:rsid w:val="0208494C"/>
    <w:rsid w:val="020E1BAE"/>
    <w:rsid w:val="02371FD6"/>
    <w:rsid w:val="0242176A"/>
    <w:rsid w:val="0245A6FE"/>
    <w:rsid w:val="02651A38"/>
    <w:rsid w:val="027BAD02"/>
    <w:rsid w:val="02D244CB"/>
    <w:rsid w:val="02F6C215"/>
    <w:rsid w:val="02FC17C7"/>
    <w:rsid w:val="03077BE1"/>
    <w:rsid w:val="03381B3E"/>
    <w:rsid w:val="0338E579"/>
    <w:rsid w:val="034B090B"/>
    <w:rsid w:val="035AF98D"/>
    <w:rsid w:val="036C895C"/>
    <w:rsid w:val="036CE2F0"/>
    <w:rsid w:val="037B7BA3"/>
    <w:rsid w:val="039E8D28"/>
    <w:rsid w:val="03B04911"/>
    <w:rsid w:val="03B8BE14"/>
    <w:rsid w:val="03BC6E6D"/>
    <w:rsid w:val="03D15C0F"/>
    <w:rsid w:val="04343C30"/>
    <w:rsid w:val="044993CC"/>
    <w:rsid w:val="04B9A0E1"/>
    <w:rsid w:val="04DABE3E"/>
    <w:rsid w:val="04ED75DE"/>
    <w:rsid w:val="0501B96D"/>
    <w:rsid w:val="05847E3B"/>
    <w:rsid w:val="05A0E3FA"/>
    <w:rsid w:val="05AD0B59"/>
    <w:rsid w:val="05B74F34"/>
    <w:rsid w:val="05BE1805"/>
    <w:rsid w:val="05F29E25"/>
    <w:rsid w:val="064466F0"/>
    <w:rsid w:val="06CFAD97"/>
    <w:rsid w:val="06ED4278"/>
    <w:rsid w:val="06F4ABC1"/>
    <w:rsid w:val="0709D937"/>
    <w:rsid w:val="0724A1E8"/>
    <w:rsid w:val="07419610"/>
    <w:rsid w:val="075723F5"/>
    <w:rsid w:val="07990AFD"/>
    <w:rsid w:val="079A9BFC"/>
    <w:rsid w:val="079FD966"/>
    <w:rsid w:val="07A7D99A"/>
    <w:rsid w:val="07A8B245"/>
    <w:rsid w:val="07AC4D6C"/>
    <w:rsid w:val="07F40EB3"/>
    <w:rsid w:val="07FB19ED"/>
    <w:rsid w:val="083073EF"/>
    <w:rsid w:val="0882D14F"/>
    <w:rsid w:val="089EC50A"/>
    <w:rsid w:val="08AD32BE"/>
    <w:rsid w:val="08B43683"/>
    <w:rsid w:val="09129A51"/>
    <w:rsid w:val="09265828"/>
    <w:rsid w:val="092CC6A0"/>
    <w:rsid w:val="093863B2"/>
    <w:rsid w:val="0945CA96"/>
    <w:rsid w:val="09904050"/>
    <w:rsid w:val="09B1A7C0"/>
    <w:rsid w:val="09D0C627"/>
    <w:rsid w:val="09DD29B0"/>
    <w:rsid w:val="0A3A9309"/>
    <w:rsid w:val="0A5AAE48"/>
    <w:rsid w:val="0A6E3898"/>
    <w:rsid w:val="0A7595B8"/>
    <w:rsid w:val="0A85560C"/>
    <w:rsid w:val="0AA3608E"/>
    <w:rsid w:val="0B0CB443"/>
    <w:rsid w:val="0B161787"/>
    <w:rsid w:val="0B1A724C"/>
    <w:rsid w:val="0B4BD4A6"/>
    <w:rsid w:val="0B6CE530"/>
    <w:rsid w:val="0B9AAFC8"/>
    <w:rsid w:val="0BECD3C2"/>
    <w:rsid w:val="0BF2653E"/>
    <w:rsid w:val="0C0EE5B2"/>
    <w:rsid w:val="0C393534"/>
    <w:rsid w:val="0C421CDA"/>
    <w:rsid w:val="0C878363"/>
    <w:rsid w:val="0C9DE122"/>
    <w:rsid w:val="0CC37AE2"/>
    <w:rsid w:val="0CCA05EE"/>
    <w:rsid w:val="0D0583E3"/>
    <w:rsid w:val="0D5BEC51"/>
    <w:rsid w:val="0D5DBBB2"/>
    <w:rsid w:val="0D6EAF01"/>
    <w:rsid w:val="0D85BA39"/>
    <w:rsid w:val="0D9BEB2D"/>
    <w:rsid w:val="0DB6B321"/>
    <w:rsid w:val="0DC7E5F8"/>
    <w:rsid w:val="0DD5BF12"/>
    <w:rsid w:val="0DF13A3A"/>
    <w:rsid w:val="0E1F0C76"/>
    <w:rsid w:val="0E48EE30"/>
    <w:rsid w:val="0E5C859D"/>
    <w:rsid w:val="0E7C92B7"/>
    <w:rsid w:val="0E901464"/>
    <w:rsid w:val="0EAB3751"/>
    <w:rsid w:val="0EE476B3"/>
    <w:rsid w:val="0F1C6C25"/>
    <w:rsid w:val="0F5145F5"/>
    <w:rsid w:val="0F62A2CC"/>
    <w:rsid w:val="0FA48977"/>
    <w:rsid w:val="0FC8D61E"/>
    <w:rsid w:val="0FCF0348"/>
    <w:rsid w:val="10016913"/>
    <w:rsid w:val="10067536"/>
    <w:rsid w:val="10154A5D"/>
    <w:rsid w:val="101E4F06"/>
    <w:rsid w:val="103AE692"/>
    <w:rsid w:val="105375AD"/>
    <w:rsid w:val="10955DCD"/>
    <w:rsid w:val="10BAEC42"/>
    <w:rsid w:val="10D11E99"/>
    <w:rsid w:val="10EBE955"/>
    <w:rsid w:val="1110453C"/>
    <w:rsid w:val="1110811B"/>
    <w:rsid w:val="111D1300"/>
    <w:rsid w:val="114BC1F9"/>
    <w:rsid w:val="116DD788"/>
    <w:rsid w:val="1193C195"/>
    <w:rsid w:val="11CEC5F0"/>
    <w:rsid w:val="11E807DD"/>
    <w:rsid w:val="12048BA5"/>
    <w:rsid w:val="1230935A"/>
    <w:rsid w:val="1248A29A"/>
    <w:rsid w:val="12A0B4D6"/>
    <w:rsid w:val="133E52CA"/>
    <w:rsid w:val="134DF136"/>
    <w:rsid w:val="13F57E69"/>
    <w:rsid w:val="1409A296"/>
    <w:rsid w:val="14241D7B"/>
    <w:rsid w:val="145D1128"/>
    <w:rsid w:val="146FA2F9"/>
    <w:rsid w:val="1489F3BF"/>
    <w:rsid w:val="14B673F1"/>
    <w:rsid w:val="14B6C273"/>
    <w:rsid w:val="14E2F99A"/>
    <w:rsid w:val="1506EDC9"/>
    <w:rsid w:val="150A1DE1"/>
    <w:rsid w:val="1544C83C"/>
    <w:rsid w:val="156792BE"/>
    <w:rsid w:val="1571FC0A"/>
    <w:rsid w:val="15796DAD"/>
    <w:rsid w:val="15F55338"/>
    <w:rsid w:val="1611D731"/>
    <w:rsid w:val="1637FC64"/>
    <w:rsid w:val="16E0BCED"/>
    <w:rsid w:val="16EAEFBC"/>
    <w:rsid w:val="170CD0B3"/>
    <w:rsid w:val="171EE67D"/>
    <w:rsid w:val="1787C18E"/>
    <w:rsid w:val="17A04B29"/>
    <w:rsid w:val="17C5080C"/>
    <w:rsid w:val="1816773D"/>
    <w:rsid w:val="18C339F6"/>
    <w:rsid w:val="18E7B3BD"/>
    <w:rsid w:val="19802E16"/>
    <w:rsid w:val="199DF163"/>
    <w:rsid w:val="19B8BFD2"/>
    <w:rsid w:val="19D419DC"/>
    <w:rsid w:val="19EDA4FC"/>
    <w:rsid w:val="19F39136"/>
    <w:rsid w:val="1A53320F"/>
    <w:rsid w:val="1A570698"/>
    <w:rsid w:val="1A5DFBD5"/>
    <w:rsid w:val="1A7110F3"/>
    <w:rsid w:val="1A86D109"/>
    <w:rsid w:val="1AA2F62E"/>
    <w:rsid w:val="1AD55B7D"/>
    <w:rsid w:val="1AFC7DC7"/>
    <w:rsid w:val="1B56FCA2"/>
    <w:rsid w:val="1BC98FE9"/>
    <w:rsid w:val="1BEFE227"/>
    <w:rsid w:val="1C21D611"/>
    <w:rsid w:val="1C285C5B"/>
    <w:rsid w:val="1C446D69"/>
    <w:rsid w:val="1C4B4AB4"/>
    <w:rsid w:val="1C696823"/>
    <w:rsid w:val="1C965DF5"/>
    <w:rsid w:val="1CE2928B"/>
    <w:rsid w:val="1CF0879E"/>
    <w:rsid w:val="1D04B974"/>
    <w:rsid w:val="1D072BB7"/>
    <w:rsid w:val="1D0FC104"/>
    <w:rsid w:val="1D345981"/>
    <w:rsid w:val="1D57085D"/>
    <w:rsid w:val="1D675111"/>
    <w:rsid w:val="1DAA9782"/>
    <w:rsid w:val="1DB413D2"/>
    <w:rsid w:val="1DB99DDD"/>
    <w:rsid w:val="1DF6268F"/>
    <w:rsid w:val="1E1595B0"/>
    <w:rsid w:val="1E24DA68"/>
    <w:rsid w:val="1E44B859"/>
    <w:rsid w:val="1E55D1DA"/>
    <w:rsid w:val="1E895257"/>
    <w:rsid w:val="1E93C744"/>
    <w:rsid w:val="1EB73755"/>
    <w:rsid w:val="1EE15293"/>
    <w:rsid w:val="1F3FC567"/>
    <w:rsid w:val="1F4BCE56"/>
    <w:rsid w:val="1FC94653"/>
    <w:rsid w:val="20994533"/>
    <w:rsid w:val="20C201A4"/>
    <w:rsid w:val="20DF63E0"/>
    <w:rsid w:val="214BAF96"/>
    <w:rsid w:val="2156ABB0"/>
    <w:rsid w:val="217CEC4D"/>
    <w:rsid w:val="21A266F3"/>
    <w:rsid w:val="21BAB752"/>
    <w:rsid w:val="21C96026"/>
    <w:rsid w:val="21D1B37A"/>
    <w:rsid w:val="21F07CE2"/>
    <w:rsid w:val="227C55A9"/>
    <w:rsid w:val="22C28906"/>
    <w:rsid w:val="22C598BF"/>
    <w:rsid w:val="22D12205"/>
    <w:rsid w:val="22DB9886"/>
    <w:rsid w:val="22FBA3F2"/>
    <w:rsid w:val="230AC15A"/>
    <w:rsid w:val="2315AE4C"/>
    <w:rsid w:val="23532111"/>
    <w:rsid w:val="23545347"/>
    <w:rsid w:val="235957D8"/>
    <w:rsid w:val="235A4B8D"/>
    <w:rsid w:val="2361AA93"/>
    <w:rsid w:val="23A4592F"/>
    <w:rsid w:val="23DE6A0A"/>
    <w:rsid w:val="243EEDE2"/>
    <w:rsid w:val="246E399C"/>
    <w:rsid w:val="249E54EA"/>
    <w:rsid w:val="24C00CD7"/>
    <w:rsid w:val="24C83147"/>
    <w:rsid w:val="24D3DE90"/>
    <w:rsid w:val="24D8A86E"/>
    <w:rsid w:val="24F399E5"/>
    <w:rsid w:val="24F90C19"/>
    <w:rsid w:val="25079296"/>
    <w:rsid w:val="250BAA66"/>
    <w:rsid w:val="2529B51A"/>
    <w:rsid w:val="2537CEDA"/>
    <w:rsid w:val="253E0239"/>
    <w:rsid w:val="254775F9"/>
    <w:rsid w:val="2575A944"/>
    <w:rsid w:val="25AF61E6"/>
    <w:rsid w:val="263568F4"/>
    <w:rsid w:val="273382F2"/>
    <w:rsid w:val="27343B2A"/>
    <w:rsid w:val="2765D43F"/>
    <w:rsid w:val="2776F2EC"/>
    <w:rsid w:val="27BFD651"/>
    <w:rsid w:val="27EFA5C7"/>
    <w:rsid w:val="27F1B633"/>
    <w:rsid w:val="27FCD287"/>
    <w:rsid w:val="28162F2F"/>
    <w:rsid w:val="28526CD1"/>
    <w:rsid w:val="286BD865"/>
    <w:rsid w:val="287316C6"/>
    <w:rsid w:val="28D0DB67"/>
    <w:rsid w:val="29101AB0"/>
    <w:rsid w:val="2940B7E8"/>
    <w:rsid w:val="294BB1E9"/>
    <w:rsid w:val="294F6818"/>
    <w:rsid w:val="299F17F8"/>
    <w:rsid w:val="29A9AFEE"/>
    <w:rsid w:val="29BDDF01"/>
    <w:rsid w:val="29D62B3A"/>
    <w:rsid w:val="2A252193"/>
    <w:rsid w:val="2AF0FB3D"/>
    <w:rsid w:val="2BA651DF"/>
    <w:rsid w:val="2BAD8176"/>
    <w:rsid w:val="2BCB9132"/>
    <w:rsid w:val="2BE5E466"/>
    <w:rsid w:val="2C9E01AC"/>
    <w:rsid w:val="2CA49796"/>
    <w:rsid w:val="2CBCBF6F"/>
    <w:rsid w:val="2CC2DC34"/>
    <w:rsid w:val="2CDC199D"/>
    <w:rsid w:val="2D0A0272"/>
    <w:rsid w:val="2D407FCB"/>
    <w:rsid w:val="2D535EE7"/>
    <w:rsid w:val="2D6FA2C3"/>
    <w:rsid w:val="2D932AD1"/>
    <w:rsid w:val="2DA6F936"/>
    <w:rsid w:val="2DC2E49B"/>
    <w:rsid w:val="2DE3F073"/>
    <w:rsid w:val="2E2EA393"/>
    <w:rsid w:val="2E6267C0"/>
    <w:rsid w:val="2E928967"/>
    <w:rsid w:val="2E9CE0AA"/>
    <w:rsid w:val="2EBB8549"/>
    <w:rsid w:val="2EBC526D"/>
    <w:rsid w:val="2ED783B6"/>
    <w:rsid w:val="2EEB58DD"/>
    <w:rsid w:val="2EEBDDB9"/>
    <w:rsid w:val="2F086FEB"/>
    <w:rsid w:val="2F12C5BD"/>
    <w:rsid w:val="2F48ACD9"/>
    <w:rsid w:val="2F68A72D"/>
    <w:rsid w:val="2F9B66B9"/>
    <w:rsid w:val="2F9BF80F"/>
    <w:rsid w:val="2FB53B7B"/>
    <w:rsid w:val="2FB6C3BC"/>
    <w:rsid w:val="2FBDD646"/>
    <w:rsid w:val="2FC2C869"/>
    <w:rsid w:val="3007949A"/>
    <w:rsid w:val="301AEF76"/>
    <w:rsid w:val="3035873F"/>
    <w:rsid w:val="308C669B"/>
    <w:rsid w:val="30D2EAD7"/>
    <w:rsid w:val="30E09437"/>
    <w:rsid w:val="31BF44A8"/>
    <w:rsid w:val="31E26787"/>
    <w:rsid w:val="31E7ECE0"/>
    <w:rsid w:val="31E9652F"/>
    <w:rsid w:val="3223D174"/>
    <w:rsid w:val="32251C5D"/>
    <w:rsid w:val="32662EB9"/>
    <w:rsid w:val="326ABCEB"/>
    <w:rsid w:val="3292E27C"/>
    <w:rsid w:val="32C026A9"/>
    <w:rsid w:val="330413A5"/>
    <w:rsid w:val="330E0164"/>
    <w:rsid w:val="331216D6"/>
    <w:rsid w:val="333573BA"/>
    <w:rsid w:val="335928B8"/>
    <w:rsid w:val="337CA420"/>
    <w:rsid w:val="337FC06C"/>
    <w:rsid w:val="33809401"/>
    <w:rsid w:val="338DB00C"/>
    <w:rsid w:val="33C0B7B4"/>
    <w:rsid w:val="33EB7EBF"/>
    <w:rsid w:val="34342F4A"/>
    <w:rsid w:val="343A2FD4"/>
    <w:rsid w:val="34533E61"/>
    <w:rsid w:val="345D702A"/>
    <w:rsid w:val="347149EB"/>
    <w:rsid w:val="34AECDED"/>
    <w:rsid w:val="3516DFFE"/>
    <w:rsid w:val="352424A8"/>
    <w:rsid w:val="3539B5EF"/>
    <w:rsid w:val="3571C518"/>
    <w:rsid w:val="359A56AF"/>
    <w:rsid w:val="35A97063"/>
    <w:rsid w:val="35B1B532"/>
    <w:rsid w:val="35E3E5C6"/>
    <w:rsid w:val="35EC9E86"/>
    <w:rsid w:val="35F23AF0"/>
    <w:rsid w:val="36323BE2"/>
    <w:rsid w:val="3633C6C9"/>
    <w:rsid w:val="363D644F"/>
    <w:rsid w:val="3698306C"/>
    <w:rsid w:val="369C7E61"/>
    <w:rsid w:val="36BE6FDF"/>
    <w:rsid w:val="36D5C2ED"/>
    <w:rsid w:val="371DA941"/>
    <w:rsid w:val="3724888C"/>
    <w:rsid w:val="373287A6"/>
    <w:rsid w:val="374DB407"/>
    <w:rsid w:val="376EB54F"/>
    <w:rsid w:val="3771D6DC"/>
    <w:rsid w:val="37E32EF6"/>
    <w:rsid w:val="3821826C"/>
    <w:rsid w:val="3831105B"/>
    <w:rsid w:val="3831FE5B"/>
    <w:rsid w:val="383A3685"/>
    <w:rsid w:val="3866814D"/>
    <w:rsid w:val="3882295F"/>
    <w:rsid w:val="38C78AF8"/>
    <w:rsid w:val="38FD7B3A"/>
    <w:rsid w:val="3923AE71"/>
    <w:rsid w:val="394AA8B3"/>
    <w:rsid w:val="394F2108"/>
    <w:rsid w:val="396D4F6B"/>
    <w:rsid w:val="3979390E"/>
    <w:rsid w:val="39ABB305"/>
    <w:rsid w:val="39EEC456"/>
    <w:rsid w:val="39F98FB4"/>
    <w:rsid w:val="3A0B844D"/>
    <w:rsid w:val="3A67287A"/>
    <w:rsid w:val="3A795D2F"/>
    <w:rsid w:val="3A89DDBA"/>
    <w:rsid w:val="3A8AD88B"/>
    <w:rsid w:val="3A96446C"/>
    <w:rsid w:val="3AB1E281"/>
    <w:rsid w:val="3ACFB617"/>
    <w:rsid w:val="3AD4D11A"/>
    <w:rsid w:val="3AF94E5D"/>
    <w:rsid w:val="3AFA3A24"/>
    <w:rsid w:val="3B5207BE"/>
    <w:rsid w:val="3B537754"/>
    <w:rsid w:val="3B617392"/>
    <w:rsid w:val="3B872DD8"/>
    <w:rsid w:val="3BA45F67"/>
    <w:rsid w:val="3BB1A255"/>
    <w:rsid w:val="3BC15FC2"/>
    <w:rsid w:val="3BCA8CDF"/>
    <w:rsid w:val="3C1AE3BE"/>
    <w:rsid w:val="3C1D2D24"/>
    <w:rsid w:val="3C3FA37A"/>
    <w:rsid w:val="3C57EA59"/>
    <w:rsid w:val="3C5A252C"/>
    <w:rsid w:val="3C618AEA"/>
    <w:rsid w:val="3C7FACD6"/>
    <w:rsid w:val="3C80BDA1"/>
    <w:rsid w:val="3CC0E986"/>
    <w:rsid w:val="3D1221C2"/>
    <w:rsid w:val="3D15378F"/>
    <w:rsid w:val="3D23D380"/>
    <w:rsid w:val="3D25D8EE"/>
    <w:rsid w:val="3D3F9B89"/>
    <w:rsid w:val="3D577474"/>
    <w:rsid w:val="3D6E1E26"/>
    <w:rsid w:val="3D807CF7"/>
    <w:rsid w:val="3D92DD3E"/>
    <w:rsid w:val="3DC8ED4E"/>
    <w:rsid w:val="3DE1BC25"/>
    <w:rsid w:val="3E089529"/>
    <w:rsid w:val="3E4DDCF8"/>
    <w:rsid w:val="3E8840B6"/>
    <w:rsid w:val="3EB4BFF3"/>
    <w:rsid w:val="3EBE721F"/>
    <w:rsid w:val="3EC4C372"/>
    <w:rsid w:val="3EF0095B"/>
    <w:rsid w:val="3F124053"/>
    <w:rsid w:val="3F1E2EDF"/>
    <w:rsid w:val="3F6E8FEF"/>
    <w:rsid w:val="3F715DB5"/>
    <w:rsid w:val="3FEAFCB6"/>
    <w:rsid w:val="40477EB6"/>
    <w:rsid w:val="40735D73"/>
    <w:rsid w:val="4083A5A3"/>
    <w:rsid w:val="408BC4A0"/>
    <w:rsid w:val="408D96E5"/>
    <w:rsid w:val="416D55A2"/>
    <w:rsid w:val="417AE02C"/>
    <w:rsid w:val="419097E1"/>
    <w:rsid w:val="41EA05D3"/>
    <w:rsid w:val="420DE5C7"/>
    <w:rsid w:val="424C4CAB"/>
    <w:rsid w:val="426772CB"/>
    <w:rsid w:val="426A22E7"/>
    <w:rsid w:val="42D59E7D"/>
    <w:rsid w:val="42DD74DE"/>
    <w:rsid w:val="42E17CF9"/>
    <w:rsid w:val="4309F7E4"/>
    <w:rsid w:val="431EA7AC"/>
    <w:rsid w:val="4328195F"/>
    <w:rsid w:val="432FCEF1"/>
    <w:rsid w:val="433271E1"/>
    <w:rsid w:val="434731D5"/>
    <w:rsid w:val="437A8137"/>
    <w:rsid w:val="43A7E6CF"/>
    <w:rsid w:val="43C573DE"/>
    <w:rsid w:val="4405B176"/>
    <w:rsid w:val="4421408E"/>
    <w:rsid w:val="4431E8AE"/>
    <w:rsid w:val="4449B44B"/>
    <w:rsid w:val="444FF82A"/>
    <w:rsid w:val="44527E82"/>
    <w:rsid w:val="4485E164"/>
    <w:rsid w:val="4491FB95"/>
    <w:rsid w:val="44940487"/>
    <w:rsid w:val="44A1B47C"/>
    <w:rsid w:val="44BDB351"/>
    <w:rsid w:val="44C9A3C0"/>
    <w:rsid w:val="44ED1EC4"/>
    <w:rsid w:val="44ED49B0"/>
    <w:rsid w:val="450FA665"/>
    <w:rsid w:val="45A892ED"/>
    <w:rsid w:val="45AA2A35"/>
    <w:rsid w:val="45B5E1BF"/>
    <w:rsid w:val="45C0B08C"/>
    <w:rsid w:val="45D50DF1"/>
    <w:rsid w:val="466C69D5"/>
    <w:rsid w:val="46C959FA"/>
    <w:rsid w:val="46DFD27F"/>
    <w:rsid w:val="46FAEFA0"/>
    <w:rsid w:val="47791962"/>
    <w:rsid w:val="47A859F5"/>
    <w:rsid w:val="47B24216"/>
    <w:rsid w:val="47DC360E"/>
    <w:rsid w:val="480C7B75"/>
    <w:rsid w:val="480ECC49"/>
    <w:rsid w:val="483415B1"/>
    <w:rsid w:val="486F5CBE"/>
    <w:rsid w:val="4889FD02"/>
    <w:rsid w:val="4894F351"/>
    <w:rsid w:val="48EFD0BD"/>
    <w:rsid w:val="492364AB"/>
    <w:rsid w:val="492456DE"/>
    <w:rsid w:val="4929F708"/>
    <w:rsid w:val="49728C16"/>
    <w:rsid w:val="4985C32E"/>
    <w:rsid w:val="49BB6989"/>
    <w:rsid w:val="4A2350F1"/>
    <w:rsid w:val="4A2AF919"/>
    <w:rsid w:val="4A3A2AAD"/>
    <w:rsid w:val="4A50F4B6"/>
    <w:rsid w:val="4A58D503"/>
    <w:rsid w:val="4A6D86C2"/>
    <w:rsid w:val="4A8AF57F"/>
    <w:rsid w:val="4ABE9C83"/>
    <w:rsid w:val="4AC578A8"/>
    <w:rsid w:val="4AC6A327"/>
    <w:rsid w:val="4AE56FD1"/>
    <w:rsid w:val="4B091A55"/>
    <w:rsid w:val="4B0BD074"/>
    <w:rsid w:val="4B33BD83"/>
    <w:rsid w:val="4B58982A"/>
    <w:rsid w:val="4B5E3795"/>
    <w:rsid w:val="4B875DBA"/>
    <w:rsid w:val="4C4F73A4"/>
    <w:rsid w:val="4C87B43F"/>
    <w:rsid w:val="4C8D345C"/>
    <w:rsid w:val="4CAEFD00"/>
    <w:rsid w:val="4CB620AB"/>
    <w:rsid w:val="4CD6D24F"/>
    <w:rsid w:val="4CF7FB20"/>
    <w:rsid w:val="4D00DA89"/>
    <w:rsid w:val="4DEFCB97"/>
    <w:rsid w:val="4E2CEAC3"/>
    <w:rsid w:val="4E94176B"/>
    <w:rsid w:val="4EF99154"/>
    <w:rsid w:val="4EFFA4FD"/>
    <w:rsid w:val="4F1A97B8"/>
    <w:rsid w:val="4F467455"/>
    <w:rsid w:val="4F77E607"/>
    <w:rsid w:val="4F9EB479"/>
    <w:rsid w:val="4FB4A3DD"/>
    <w:rsid w:val="4FF09670"/>
    <w:rsid w:val="4FF9AD76"/>
    <w:rsid w:val="50021A3B"/>
    <w:rsid w:val="501C378E"/>
    <w:rsid w:val="50472EBB"/>
    <w:rsid w:val="506FF85C"/>
    <w:rsid w:val="509377BC"/>
    <w:rsid w:val="50DDA508"/>
    <w:rsid w:val="514D0720"/>
    <w:rsid w:val="51594129"/>
    <w:rsid w:val="517C4CB4"/>
    <w:rsid w:val="51A81D90"/>
    <w:rsid w:val="51BB2691"/>
    <w:rsid w:val="51C37250"/>
    <w:rsid w:val="521C8C4B"/>
    <w:rsid w:val="5235E160"/>
    <w:rsid w:val="5237F74E"/>
    <w:rsid w:val="52419931"/>
    <w:rsid w:val="524792AB"/>
    <w:rsid w:val="52671A3E"/>
    <w:rsid w:val="5291BA59"/>
    <w:rsid w:val="52D09FE4"/>
    <w:rsid w:val="52D37BC1"/>
    <w:rsid w:val="53295398"/>
    <w:rsid w:val="532BA13E"/>
    <w:rsid w:val="5345241C"/>
    <w:rsid w:val="53531583"/>
    <w:rsid w:val="5394E3CA"/>
    <w:rsid w:val="53E71975"/>
    <w:rsid w:val="53FF7EE7"/>
    <w:rsid w:val="541EB14A"/>
    <w:rsid w:val="5430EAC2"/>
    <w:rsid w:val="54649A24"/>
    <w:rsid w:val="546691DA"/>
    <w:rsid w:val="5470D332"/>
    <w:rsid w:val="5494165C"/>
    <w:rsid w:val="54A5C0DC"/>
    <w:rsid w:val="54B96DDE"/>
    <w:rsid w:val="54E40D16"/>
    <w:rsid w:val="553E063F"/>
    <w:rsid w:val="556D0A97"/>
    <w:rsid w:val="5573EB13"/>
    <w:rsid w:val="55E2CA9B"/>
    <w:rsid w:val="55F1132C"/>
    <w:rsid w:val="56060300"/>
    <w:rsid w:val="5628CCE0"/>
    <w:rsid w:val="56301B04"/>
    <w:rsid w:val="56411C4C"/>
    <w:rsid w:val="569D3BA7"/>
    <w:rsid w:val="56C2F0E7"/>
    <w:rsid w:val="56F9EB07"/>
    <w:rsid w:val="571B93A7"/>
    <w:rsid w:val="572EA50D"/>
    <w:rsid w:val="572EC82A"/>
    <w:rsid w:val="57897D8B"/>
    <w:rsid w:val="57941F4B"/>
    <w:rsid w:val="57B16F4E"/>
    <w:rsid w:val="57D26D66"/>
    <w:rsid w:val="57EA8278"/>
    <w:rsid w:val="5841E27B"/>
    <w:rsid w:val="585861A3"/>
    <w:rsid w:val="588E0A29"/>
    <w:rsid w:val="58F2DA49"/>
    <w:rsid w:val="59013F2D"/>
    <w:rsid w:val="5914E778"/>
    <w:rsid w:val="593E45D6"/>
    <w:rsid w:val="59687DD4"/>
    <w:rsid w:val="5A136F51"/>
    <w:rsid w:val="5A1867AF"/>
    <w:rsid w:val="5AAEBB46"/>
    <w:rsid w:val="5AB56C42"/>
    <w:rsid w:val="5ABE0781"/>
    <w:rsid w:val="5ACEA17D"/>
    <w:rsid w:val="5B0443C9"/>
    <w:rsid w:val="5B0F941E"/>
    <w:rsid w:val="5B23DBB8"/>
    <w:rsid w:val="5B3D3613"/>
    <w:rsid w:val="5B42A634"/>
    <w:rsid w:val="5B8D82A0"/>
    <w:rsid w:val="5B9E9D45"/>
    <w:rsid w:val="5BABC6CF"/>
    <w:rsid w:val="5BBABD97"/>
    <w:rsid w:val="5BC3DC71"/>
    <w:rsid w:val="5BD590E9"/>
    <w:rsid w:val="5BEE0043"/>
    <w:rsid w:val="5C1825CD"/>
    <w:rsid w:val="5C7BAFEC"/>
    <w:rsid w:val="5D0317C5"/>
    <w:rsid w:val="5D03F12D"/>
    <w:rsid w:val="5D0FDB5D"/>
    <w:rsid w:val="5D66844E"/>
    <w:rsid w:val="5D85C19C"/>
    <w:rsid w:val="5DC0D4E6"/>
    <w:rsid w:val="5DD0F711"/>
    <w:rsid w:val="5DD159B5"/>
    <w:rsid w:val="5DD42AC1"/>
    <w:rsid w:val="5E245909"/>
    <w:rsid w:val="5E36D869"/>
    <w:rsid w:val="5E3DB5F3"/>
    <w:rsid w:val="5E527AD1"/>
    <w:rsid w:val="5E600F0D"/>
    <w:rsid w:val="5E77EDEA"/>
    <w:rsid w:val="5EAC2E12"/>
    <w:rsid w:val="5EADCAB6"/>
    <w:rsid w:val="5ED92F70"/>
    <w:rsid w:val="5F372DAD"/>
    <w:rsid w:val="5F50C6C2"/>
    <w:rsid w:val="5F89F3E8"/>
    <w:rsid w:val="5FA58EE5"/>
    <w:rsid w:val="5FF06781"/>
    <w:rsid w:val="5FF1899E"/>
    <w:rsid w:val="601DBE39"/>
    <w:rsid w:val="6023036A"/>
    <w:rsid w:val="6026600B"/>
    <w:rsid w:val="60772709"/>
    <w:rsid w:val="60B07E65"/>
    <w:rsid w:val="60D6E56D"/>
    <w:rsid w:val="60F69660"/>
    <w:rsid w:val="612D711A"/>
    <w:rsid w:val="61317B7A"/>
    <w:rsid w:val="61330557"/>
    <w:rsid w:val="6139F77A"/>
    <w:rsid w:val="6180B965"/>
    <w:rsid w:val="618D0641"/>
    <w:rsid w:val="61A70B25"/>
    <w:rsid w:val="61E6D9F1"/>
    <w:rsid w:val="61E749BD"/>
    <w:rsid w:val="620B479F"/>
    <w:rsid w:val="622589BE"/>
    <w:rsid w:val="62300B19"/>
    <w:rsid w:val="623697EF"/>
    <w:rsid w:val="628D36C9"/>
    <w:rsid w:val="62BFF66E"/>
    <w:rsid w:val="62EBD8AF"/>
    <w:rsid w:val="62F4B10B"/>
    <w:rsid w:val="638F05B5"/>
    <w:rsid w:val="6395AF3A"/>
    <w:rsid w:val="63ABFF78"/>
    <w:rsid w:val="63DA0817"/>
    <w:rsid w:val="642A4D89"/>
    <w:rsid w:val="64C3834F"/>
    <w:rsid w:val="64E1115A"/>
    <w:rsid w:val="64EECA8D"/>
    <w:rsid w:val="651E463F"/>
    <w:rsid w:val="6548D97B"/>
    <w:rsid w:val="65595230"/>
    <w:rsid w:val="65943F86"/>
    <w:rsid w:val="65B18D12"/>
    <w:rsid w:val="6631C59D"/>
    <w:rsid w:val="66AF86A2"/>
    <w:rsid w:val="66CE0651"/>
    <w:rsid w:val="66ED0CE1"/>
    <w:rsid w:val="67056C5E"/>
    <w:rsid w:val="672562C9"/>
    <w:rsid w:val="674F30A9"/>
    <w:rsid w:val="67720A62"/>
    <w:rsid w:val="677B692C"/>
    <w:rsid w:val="6780CE86"/>
    <w:rsid w:val="6782C92A"/>
    <w:rsid w:val="67879864"/>
    <w:rsid w:val="67881A07"/>
    <w:rsid w:val="67CFC5F7"/>
    <w:rsid w:val="67D1EF3D"/>
    <w:rsid w:val="6837B3E9"/>
    <w:rsid w:val="6837DB4F"/>
    <w:rsid w:val="685117F5"/>
    <w:rsid w:val="68576A92"/>
    <w:rsid w:val="685A3C8F"/>
    <w:rsid w:val="685F2675"/>
    <w:rsid w:val="68614017"/>
    <w:rsid w:val="68AFE551"/>
    <w:rsid w:val="68C55FBE"/>
    <w:rsid w:val="68D376AC"/>
    <w:rsid w:val="68DD87AD"/>
    <w:rsid w:val="6906C158"/>
    <w:rsid w:val="694CF170"/>
    <w:rsid w:val="6958F951"/>
    <w:rsid w:val="6959BF0C"/>
    <w:rsid w:val="696CCD8A"/>
    <w:rsid w:val="6990EC63"/>
    <w:rsid w:val="6993B5BA"/>
    <w:rsid w:val="69EF587E"/>
    <w:rsid w:val="69F36E5F"/>
    <w:rsid w:val="6A063D23"/>
    <w:rsid w:val="6A358D55"/>
    <w:rsid w:val="6A3922B2"/>
    <w:rsid w:val="6A6FC005"/>
    <w:rsid w:val="6A7B3EAB"/>
    <w:rsid w:val="6A8F8175"/>
    <w:rsid w:val="6AA1FE9F"/>
    <w:rsid w:val="6AA3C698"/>
    <w:rsid w:val="6AB635BF"/>
    <w:rsid w:val="6ACA3E0A"/>
    <w:rsid w:val="6B02997E"/>
    <w:rsid w:val="6B17458E"/>
    <w:rsid w:val="6B482E0E"/>
    <w:rsid w:val="6B4C1A92"/>
    <w:rsid w:val="6B815D3E"/>
    <w:rsid w:val="6B81C8E8"/>
    <w:rsid w:val="6B87BAE6"/>
    <w:rsid w:val="6BB1B505"/>
    <w:rsid w:val="6BDCCF5A"/>
    <w:rsid w:val="6C444CAA"/>
    <w:rsid w:val="6C5EE632"/>
    <w:rsid w:val="6C6A295A"/>
    <w:rsid w:val="6CEEB992"/>
    <w:rsid w:val="6CF58291"/>
    <w:rsid w:val="6D0169E2"/>
    <w:rsid w:val="6D25935E"/>
    <w:rsid w:val="6D618C39"/>
    <w:rsid w:val="6DBC96E7"/>
    <w:rsid w:val="6DCECB74"/>
    <w:rsid w:val="6DF616E4"/>
    <w:rsid w:val="6E0606C0"/>
    <w:rsid w:val="6E096D83"/>
    <w:rsid w:val="6E208B6E"/>
    <w:rsid w:val="6E246542"/>
    <w:rsid w:val="6E24C5FC"/>
    <w:rsid w:val="6E2A3E3E"/>
    <w:rsid w:val="6E4939D1"/>
    <w:rsid w:val="6E5B3E54"/>
    <w:rsid w:val="6E99066C"/>
    <w:rsid w:val="6EEC16B1"/>
    <w:rsid w:val="6F1CA42A"/>
    <w:rsid w:val="6F2D4EE5"/>
    <w:rsid w:val="6F3A47D2"/>
    <w:rsid w:val="6FA160B7"/>
    <w:rsid w:val="6FB42C00"/>
    <w:rsid w:val="6FC5C256"/>
    <w:rsid w:val="7053E88D"/>
    <w:rsid w:val="707CDE79"/>
    <w:rsid w:val="708ED34F"/>
    <w:rsid w:val="70A854BF"/>
    <w:rsid w:val="70E55CB7"/>
    <w:rsid w:val="711CC133"/>
    <w:rsid w:val="71AFAA7F"/>
    <w:rsid w:val="71AFD1D6"/>
    <w:rsid w:val="71B6DF96"/>
    <w:rsid w:val="71FCBA7F"/>
    <w:rsid w:val="72098D6E"/>
    <w:rsid w:val="720CB428"/>
    <w:rsid w:val="72287F1E"/>
    <w:rsid w:val="72602DE1"/>
    <w:rsid w:val="729C6384"/>
    <w:rsid w:val="72B5CAFA"/>
    <w:rsid w:val="72D14D09"/>
    <w:rsid w:val="732688D9"/>
    <w:rsid w:val="73B05903"/>
    <w:rsid w:val="73DF37D9"/>
    <w:rsid w:val="740DF9CB"/>
    <w:rsid w:val="742CD9EF"/>
    <w:rsid w:val="749EAE94"/>
    <w:rsid w:val="74D2E239"/>
    <w:rsid w:val="74EE9EE5"/>
    <w:rsid w:val="75326EC7"/>
    <w:rsid w:val="75565221"/>
    <w:rsid w:val="755A3610"/>
    <w:rsid w:val="75647D25"/>
    <w:rsid w:val="75A047A9"/>
    <w:rsid w:val="75BEE4EC"/>
    <w:rsid w:val="76030125"/>
    <w:rsid w:val="76154E9F"/>
    <w:rsid w:val="765411D1"/>
    <w:rsid w:val="769B5868"/>
    <w:rsid w:val="76BCA144"/>
    <w:rsid w:val="77003B24"/>
    <w:rsid w:val="7728A10E"/>
    <w:rsid w:val="775CD377"/>
    <w:rsid w:val="7779C85E"/>
    <w:rsid w:val="77AD6D0B"/>
    <w:rsid w:val="77E4C1A0"/>
    <w:rsid w:val="77ECDCBB"/>
    <w:rsid w:val="77EF6F9D"/>
    <w:rsid w:val="7815BBFE"/>
    <w:rsid w:val="788CEDD8"/>
    <w:rsid w:val="7891607E"/>
    <w:rsid w:val="7893A4BB"/>
    <w:rsid w:val="789BF830"/>
    <w:rsid w:val="789E27A9"/>
    <w:rsid w:val="78DAB99F"/>
    <w:rsid w:val="78F2E27D"/>
    <w:rsid w:val="792E45F9"/>
    <w:rsid w:val="793E2A87"/>
    <w:rsid w:val="79724980"/>
    <w:rsid w:val="7979B1C7"/>
    <w:rsid w:val="799742C9"/>
    <w:rsid w:val="799EB220"/>
    <w:rsid w:val="79B287C1"/>
    <w:rsid w:val="79CB7E96"/>
    <w:rsid w:val="7A34608E"/>
    <w:rsid w:val="7A647804"/>
    <w:rsid w:val="7A7246E1"/>
    <w:rsid w:val="7A9CA834"/>
    <w:rsid w:val="7AAE3441"/>
    <w:rsid w:val="7AEA3D06"/>
    <w:rsid w:val="7B86A56B"/>
    <w:rsid w:val="7B9B8670"/>
    <w:rsid w:val="7BA30194"/>
    <w:rsid w:val="7BA937E2"/>
    <w:rsid w:val="7BB108CC"/>
    <w:rsid w:val="7BC58697"/>
    <w:rsid w:val="7BCD6F1F"/>
    <w:rsid w:val="7BD0D280"/>
    <w:rsid w:val="7C2A5497"/>
    <w:rsid w:val="7C2DD3D7"/>
    <w:rsid w:val="7C36BD9E"/>
    <w:rsid w:val="7C56A349"/>
    <w:rsid w:val="7C5FC17F"/>
    <w:rsid w:val="7CC19288"/>
    <w:rsid w:val="7CE5C850"/>
    <w:rsid w:val="7CF0B822"/>
    <w:rsid w:val="7CF1BA76"/>
    <w:rsid w:val="7D278F29"/>
    <w:rsid w:val="7D5D80A5"/>
    <w:rsid w:val="7D6251A8"/>
    <w:rsid w:val="7D65CB6C"/>
    <w:rsid w:val="7D92B096"/>
    <w:rsid w:val="7DB9D6C5"/>
    <w:rsid w:val="7DE9FEAF"/>
    <w:rsid w:val="7E0521AE"/>
    <w:rsid w:val="7E0C4133"/>
    <w:rsid w:val="7E121F4C"/>
    <w:rsid w:val="7E3C110A"/>
    <w:rsid w:val="7E571369"/>
    <w:rsid w:val="7E60202F"/>
    <w:rsid w:val="7EB940B9"/>
    <w:rsid w:val="7F2E0E66"/>
    <w:rsid w:val="7F39FDBF"/>
    <w:rsid w:val="7F6FBB54"/>
    <w:rsid w:val="7F88F6F7"/>
    <w:rsid w:val="7F91E0A9"/>
    <w:rsid w:val="7FBA4EE5"/>
  </w:rsids>
  <m:mathPr>
    <m:mathFont m:val="Cambria Math"/>
    <m:brkBin m:val="before"/>
    <m:brkBinSub m:val="--"/>
    <m:smallFrac m:val="0"/>
    <m:dispDef/>
    <m:lMargin m:val="0"/>
    <m:rMargin m:val="0"/>
    <m:defJc m:val="centerGroup"/>
    <m:wrapIndent m:val="1440"/>
    <m:intLim m:val="subSup"/>
    <m:naryLim m:val="undOvr"/>
  </m:mathPr>
  <w:themeFontLang w:val="es-SV"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2C1DD64"/>
  <w15:docId w15:val="{1D23C174-5332-5047-B3BD-D2C0C4B9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SV"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83073EF"/>
    <w:rPr>
      <w:sz w:val="24"/>
      <w:szCs w:val="24"/>
      <w:lang w:val="en-US" w:eastAsia="en-US"/>
    </w:rPr>
  </w:style>
  <w:style w:type="paragraph" w:styleId="Heading2">
    <w:name w:val="heading 2"/>
    <w:basedOn w:val="Normal"/>
    <w:next w:val="Normal"/>
    <w:uiPriority w:val="9"/>
    <w:unhideWhenUsed/>
    <w:qFormat/>
    <w:rsid w:val="083073E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eader">
    <w:name w:val="header"/>
    <w:pPr>
      <w:tabs>
        <w:tab w:val="center" w:pos="4536"/>
        <w:tab w:val="right" w:pos="9072"/>
      </w:tabs>
    </w:pPr>
    <w:rPr>
      <w:rFonts w:cs="Arial Unicode MS"/>
      <w:color w:val="000000"/>
      <w:sz w:val="24"/>
      <w:szCs w:val="24"/>
      <w:u w:color="000000"/>
      <w:lang w:val="en-US"/>
    </w:rPr>
  </w:style>
  <w:style w:type="character" w:customStyle="1" w:styleId="None">
    <w:name w:val="None"/>
    <w:rPr>
      <w:lang w:val="en-US"/>
    </w:rPr>
  </w:style>
  <w:style w:type="paragraph" w:styleId="Footer">
    <w:name w:val="footer"/>
    <w:pPr>
      <w:tabs>
        <w:tab w:val="center" w:pos="4252"/>
        <w:tab w:val="right" w:pos="8504"/>
      </w:tabs>
    </w:pPr>
    <w:rPr>
      <w:rFonts w:eastAsia="Times New Roman"/>
      <w:color w:val="000000"/>
      <w:sz w:val="24"/>
      <w:szCs w:val="24"/>
      <w:u w:color="000000"/>
      <w:lang w:val="en-US"/>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paragraph" w:styleId="ListParagraph">
    <w:name w:val="List Paragraph"/>
    <w:pPr>
      <w:ind w:left="720"/>
    </w:pPr>
    <w:rPr>
      <w:rFonts w:cs="Arial Unicode MS"/>
      <w:color w:val="000000"/>
      <w:sz w:val="24"/>
      <w:szCs w:val="24"/>
      <w:u w:color="000000"/>
      <w:lang w:val="en-US"/>
    </w:rPr>
  </w:style>
  <w:style w:type="numbering" w:customStyle="1" w:styleId="ImportedStyle1">
    <w:name w:val="Imported Style 1"/>
    <w:pPr>
      <w:numPr>
        <w:numId w:val="2"/>
      </w:numPr>
    </w:pPr>
  </w:style>
  <w:style w:type="numbering" w:customStyle="1" w:styleId="ImportedStyle2">
    <w:name w:val="Imported Style 2"/>
    <w:pPr>
      <w:numPr>
        <w:numId w:val="4"/>
      </w:numPr>
    </w:pPr>
  </w:style>
  <w:style w:type="numbering" w:customStyle="1" w:styleId="ImportedStyle3">
    <w:name w:val="Imported Style 3"/>
    <w:pPr>
      <w:numPr>
        <w:numId w:val="6"/>
      </w:numPr>
    </w:pPr>
  </w:style>
  <w:style w:type="character" w:customStyle="1" w:styleId="Link">
    <w:name w:val="Link"/>
    <w:rPr>
      <w:outline w:val="0"/>
      <w:color w:val="0000FF"/>
      <w:u w:val="single" w:color="0000FF"/>
    </w:rPr>
  </w:style>
  <w:style w:type="character" w:customStyle="1" w:styleId="Hyperlink0">
    <w:name w:val="Hyperlink.0"/>
    <w:basedOn w:val="Link"/>
    <w:rPr>
      <w:rFonts w:ascii="Arial" w:eastAsia="Arial" w:hAnsi="Arial" w:cs="Arial"/>
      <w:outline w:val="0"/>
      <w:color w:val="0000FF"/>
      <w:sz w:val="20"/>
      <w:szCs w:val="20"/>
      <w:u w:val="single" w:color="0000FF"/>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numbering" w:customStyle="1" w:styleId="ImportedStyle4">
    <w:name w:val="Imported Style 4"/>
    <w:pPr>
      <w:numPr>
        <w:numId w:val="8"/>
      </w:numPr>
    </w:pPr>
  </w:style>
  <w:style w:type="numbering" w:customStyle="1" w:styleId="ImportedStyle5">
    <w:name w:val="Imported Style 5"/>
    <w:pPr>
      <w:numPr>
        <w:numId w:val="10"/>
      </w:numPr>
    </w:pPr>
  </w:style>
  <w:style w:type="character" w:customStyle="1" w:styleId="Hyperlink1">
    <w:name w:val="Hyperlink.1"/>
    <w:basedOn w:val="None"/>
    <w:rPr>
      <w:b w:val="0"/>
      <w:bCs w:val="0"/>
      <w:lang w:val="en-US"/>
    </w:rPr>
  </w:style>
  <w:style w:type="paragraph" w:customStyle="1" w:styleId="fulltext-references">
    <w:name w:val="fulltext-references"/>
    <w:pPr>
      <w:spacing w:before="100" w:after="100"/>
    </w:pPr>
    <w:rPr>
      <w:rFonts w:eastAsia="Times New Roman"/>
      <w:color w:val="000000"/>
      <w:sz w:val="22"/>
      <w:szCs w:val="22"/>
      <w:u w:color="000000"/>
      <w:lang w:val="en-US"/>
    </w:rPr>
  </w:style>
  <w:style w:type="paragraph" w:customStyle="1" w:styleId="Body1">
    <w:name w:val="Body 1"/>
    <w:rPr>
      <w:rFonts w:eastAsia="Times New Roman"/>
      <w:color w:val="000000"/>
      <w:sz w:val="24"/>
      <w:szCs w:val="24"/>
      <w:u w:color="000000"/>
      <w14:textOutline w14:w="0" w14:cap="flat" w14:cmpd="sng" w14:algn="ctr">
        <w14:noFill/>
        <w14:prstDash w14:val="solid"/>
        <w14:bevel/>
      </w14:textOutline>
    </w:rPr>
  </w:style>
  <w:style w:type="numbering" w:customStyle="1" w:styleId="Numbered">
    <w:name w:val="Numbered"/>
    <w:pPr>
      <w:numPr>
        <w:numId w:val="12"/>
      </w:numPr>
    </w:pPr>
  </w:style>
  <w:style w:type="character" w:customStyle="1" w:styleId="Hyperlink2">
    <w:name w:val="Hyperlink.2"/>
    <w:basedOn w:val="None"/>
    <w:rPr>
      <w:outline w:val="0"/>
      <w:color w:val="0000EE"/>
      <w:u w:val="single"/>
      <w:lang w:val="en-US"/>
    </w:rPr>
  </w:style>
  <w:style w:type="character" w:styleId="PlaceholderText">
    <w:name w:val="Placeholder Text"/>
    <w:basedOn w:val="DefaultParagraphFont"/>
    <w:uiPriority w:val="99"/>
    <w:semiHidden/>
    <w:rsid w:val="103AE692"/>
    <w:rPr>
      <w:color w:val="808080" w:themeColor="background1" w:themeShade="80"/>
    </w:rPr>
  </w:style>
  <w:style w:type="character" w:styleId="LineNumber">
    <w:name w:val="line number"/>
    <w:basedOn w:val="DefaultParagraphFont"/>
    <w:uiPriority w:val="99"/>
    <w:semiHidden/>
    <w:unhideWhenUsed/>
    <w:rsid w:val="00344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acebook.com/share/19zmVqAyfx/?mibextid=wwXIfr" TargetMode="External" /><Relationship Id="rId13" Type="http://schemas.openxmlformats.org/officeDocument/2006/relationships/header" Target="header1.xml" /><Relationship Id="rId18" Type="http://schemas.microsoft.com/office/2020/10/relationships/intelligence" Target="intelligence2.xml" /><Relationship Id="rId3" Type="http://schemas.openxmlformats.org/officeDocument/2006/relationships/settings" Target="settings.xml" /><Relationship Id="rId7" Type="http://schemas.openxmlformats.org/officeDocument/2006/relationships/hyperlink" Target="mailto:paolovigne@hotmail.com" TargetMode="External" /><Relationship Id="rId12" Type="http://schemas.openxmlformats.org/officeDocument/2006/relationships/image" Target="media/image1.png" /><Relationship Id="rId17"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glossaryDocument" Target="glossary/document.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www.instagram.com/javix10_?igsh=eWszaHpkeGk1cXA3&amp;utm_source=qr" TargetMode="External" /><Relationship Id="rId5" Type="http://schemas.openxmlformats.org/officeDocument/2006/relationships/footnotes" Target="footnotes.xml" /><Relationship Id="rId15" Type="http://schemas.openxmlformats.org/officeDocument/2006/relationships/fontTable" Target="fontTable.xml" /><Relationship Id="rId10" Type="http://schemas.openxmlformats.org/officeDocument/2006/relationships/hyperlink" Target="https://www.instagram.com/vignecuellar?igsh=bDlnMW50djZ5cWdv" TargetMode="External" /><Relationship Id="rId4" Type="http://schemas.openxmlformats.org/officeDocument/2006/relationships/webSettings" Target="webSettings.xml" /><Relationship Id="rId9" Type="http://schemas.openxmlformats.org/officeDocument/2006/relationships/hyperlink" Target="https://www.facebook.com/share/19xwWmnjcq/?mibextid=wwXIfr" TargetMode="External" /><Relationship Id="rId14" Type="http://schemas.openxmlformats.org/officeDocument/2006/relationships/footer" Target="footer1.xml" /></Relationships>
</file>

<file path=word/_rels/header1.xml.rels><?xml version="1.0" encoding="UTF-8" standalone="yes"?>
<Relationships xmlns="http://schemas.openxmlformats.org/package/2006/relationships"><Relationship Id="rId1" Type="http://schemas.openxmlformats.org/officeDocument/2006/relationships/image" Target="media/image2.png"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5F339A3-FD8B-4770-B9B5-439582094B36}"/>
      </w:docPartPr>
      <w:docPartBody>
        <w:p w:rsidR="00823ACE" w:rsidRDefault="00823ACE">
          <w:r w:rsidRPr="103AE692">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43" w:usb2="00000009" w:usb3="00000000" w:csb0="000001FF" w:csb1="00000000"/>
  </w:font>
  <w:font w:name="Noto Sans">
    <w:panose1 w:val="020B0502040504020204"/>
    <w:charset w:val="00"/>
    <w:family w:val="swiss"/>
    <w:pitch w:val="variable"/>
    <w:sig w:usb0="E00082FF" w:usb1="400078FF" w:usb2="00000021" w:usb3="00000000" w:csb0="0000019F" w:csb1="00000000"/>
  </w:font>
  <w:font w:name="system-ui">
    <w:altName w:val="Cambria"/>
    <w:charset w:val="00"/>
    <w:family w:val="roman"/>
    <w:notTrueType/>
    <w:pitch w:val="default"/>
  </w:font>
  <w:font w:name="Calibri">
    <w:panose1 w:val="020F0502020204030204"/>
    <w:charset w:val="00"/>
    <w:family w:val="swiss"/>
    <w:pitch w:val="variable"/>
    <w:sig w:usb0="E4002EFF" w:usb1="C000ACF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23ACE"/>
    <w:rsid w:val="00823ACE"/>
    <w:rsid w:val="00FE7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word/webextensions/_rels/taskpanes.xml.rels><?xml version="1.0" encoding="UTF-8" standalone="yes"?>
<Relationships xmlns="http://schemas.openxmlformats.org/package/2006/relationships"><Relationship Id="Rec4100146b2741b8" Type="http://schemas.microsoft.com/office/2011/relationships/webextension" Target="webextension.xml" /></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ec4100146b2741b8"/>
  </wetp:taskpane>
</wetp:taskpanes>
</file>

<file path=word/webextensions/webextension.xml><?xml version="1.0" encoding="utf-8"?>
<we:webextension xmlns:we="http://schemas.microsoft.com/office/webextensions/webextension/2010/11" id="00fa8df7-101a-4c0e-9693-e5c80926b198">
  <we:reference id="WA104382081" version="1.55.1.0" store="en-US" storeType="omex"/>
  <we:alternateReferences>
    <we:reference id="WA104382081" version="1.55.1.0" store="en-US" storeType="omex"/>
  </we:alternateReferences>
  <we:properties>
    <we:property name="MENDELEY_CITATIONS" value="[{&quot;citationID&quot;:&quot;MENDELEY_CITATION_55406312-9ed5-40e6-ad8b-45f2dda8b72f&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&quot;,&quot;citationItems&quot;:[{&quot;id&quot;:&quot;6d56546f-c5e0-3484-8317-a6bd84c99358&quot;,&quot;itemData&quot;:{&quot;type&quot;:&quot;article-journal&quot;,&quot;id&quot;:&quot;6d56546f-c5e0-3484-8317-a6bd84c99358&quot;,&quot;title&quot;:&quot;PURPLE URINE BAGS&quot;,&quot;author&quot;:[{&quot;family&quot;:&quot;Barlow&quot;,&quot;given&quot;:&quot;G. B.&quot;,&quot;parse-names&quot;:false,&quot;dropping-particle&quot;:&quot;&quot;,&quot;non-dropping-particle&quot;:&quot;&quot;},{&quot;family&quot;:&quot;Dickson&quot;,&quot;given&quot;:&quot;J. A.S.&quot;,&quot;parse-names&quot;:false,&quot;dropping-particle&quot;:&quot;&quot;,&quot;non-dropping-particle&quot;:&quot;&quot;}],&quot;container-title&quot;:&quot;The Lancet&quot;,&quot;accessed&quot;:{&quot;date-parts&quot;:[[2026,2,7]]},&quot;DOI&quot;:&quot;10.1016/S0140-6736(78)90667-0&quot;,&quot;ISSN&quot;:&quot;01406736&quot;,&quot;URL&quot;:&quot;https://www.thelancet.com/action/showFullText?pii=S0140673678906670&quot;,&quot;issued&quot;:{&quot;date-parts&quot;:[[1978,1,28]]},&quot;page&quot;:&quot;220-221&quot;,&quot;publisher&quot;:&quot;Elsevier&quot;,&quot;issue&quot;:&quot;8057&quot;,&quot;volume&quot;:&quot;311&quot;,&quot;container-title-short&quot;:&quot;&quot;},&quot;isTemporary&quot;:false}]},{&quot;citationID&quot;:&quot;MENDELEY_CITATION_2b572317-4051-4273-9364-e2cee9631909&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&quot;,&quot;citationItems&quot;:[{&quot;id&quot;:&quot;900eb353-9ccd-36e6-9bbe-bb9e96f5b18d&quot;,&quot;itemData&quot;:{&quot;type&quot;:&quot;article-journal&quot;,&quot;id&quot;:&quot;900eb353-9ccd-36e6-9bbe-bb9e96f5b18d&quot;,&quot;title&quot;:&quot;Purple urine bag syndrome: an alarming hue? A brief review of the literature&quot;,&quot;author&quot;:[{&quot;family&quot;:&quot;Khan&quot;,&quot;given&quot;:&quot;Fahad&quot;,&quot;parse-names&quot;:false,&quot;dropping-particle&quot;:&quot;&quot;,&quot;non-dropping-particle&quot;:&quot;&quot;},{&quot;family&quot;:&quot;Chaudhry&quot;,&quot;given&quot;:&quot;Muhammad A.&quot;,&quot;parse-names&quot;:false,&quot;dropping-particle&quot;:&quot;&quot;,&quot;non-dropping-particle&quot;:&quot;&quot;},{&quot;family&quot;:&quot;Qureshi&quot;,&quot;given&quot;:&quot;Noorulain&quot;,&quot;parse-names&quot;:false,&quot;dropping-particle&quot;:&quot;&quot;,&quot;non-dropping-particle&quot;:&quot;&quot;},{&quot;family&quot;:&quot;Cowley&quot;,&quot;given&quot;:&quot;Benjamin&quot;,&quot;parse-names&quot;:false,&quot;dropping-particle&quot;:&quot;&quot;,&quot;non-dropping-particle&quot;:&quot;&quot;}],&quot;container-title&quot;:&quot;International journal of nephrology&quot;,&quot;accessed&quot;:{&quot;date-parts&quot;:[[2026,2,7]]},&quot;DOI&quot;:&quot;10.4061/2011/419213&quot;,&quot;ISSN&quot;:&quot;2090-214X&quot;,&quot;PMID&quot;:&quot;21977321&quot;,&quot;URL&quot;:&quot;https://pubmed.ncbi.nlm.nih.gov/21977321/&quot;,&quot;issued&quot;:{&quot;date-parts&quot;:[[2011]]},&quot;page&quot;:&quot;1-3&quot;,&quot;abstract&quot;:&quot;Purple urine bag syndrome (PUBS) is a unique disease entity characterized by an alarming purple discoloration of the urine secondary to recurrent urinary tract infections with indigo- and indirubin-producing bacteria. It is usually associated with prolonged urinary catheterization and chronic debilitated states. We hereby present a concise review of this rare phenomenon with historic perspectives, epidemiology, emphasizing on current concepts of etiology, pathogenesis, relevant clinical associations, treatment modalities, prognosis, and future directions in PUBS. In addition, we highlight an interesting occurrence of this intriguing phenomenon in a 39-year-old gentleman at our institution.&quot;,&quot;publisher&quot;:&quot;Int J Nephrol&quot;,&quot;volume&quot;:&quot;2011&quot;,&quot;container-title-short&quot;:&quot;Int. J. Nephrol.&quot;},&quot;isTemporary&quot;:false},{&quot;id&quot;:&quot;d16803e9-0c41-31f6-9698-0018cf46151b&quot;,&quot;itemData&quot;:{&quot;type&quot;:&quot;article-journal&quot;,&quot;id&quot;:&quot;d16803e9-0c41-31f6-9698-0018cf46151b&quot;,&quot;title&quot;:&quot;Enzymatic degradation of urinary indoxyl sulfate by Providencia stuartii and Klebsiella pneumoniae causes the purple urine bag syndrome&quot;,&quot;author&quot;:[{&quot;family&quot;:&quot;Dealler&quot;,&quot;given&quot;:&quot;S. F.&quot;,&quot;parse-names&quot;:false,&quot;dropping-particle&quot;:&quot;&quot;,&quot;non-dropping-particle&quot;:&quot;&quot;},{&quot;family&quot;:&quot;Hawkey&quot;,&quot;given&quot;:&quot;P. M.&quot;,&quot;parse-names&quot;:false,&quot;dropping-particle&quot;:&quot;&quot;,&quot;non-dropping-particle&quot;:&quot;&quot;},{&quot;family&quot;:&quot;Millar&quot;,&quot;given&quot;:&quot;M. R.&quot;,&quot;parse-names&quot;:false,&quot;dropping-particle&quot;:&quot;&quot;,&quot;non-dropping-particle&quot;:&quot;&quot;}],&quot;container-title&quot;:&quot;Journal of clinical microbiology&quot;,&quot;accessed&quot;:{&quot;date-parts&quot;:[[2026,2,7]]},&quot;DOI&quot;:&quot;10.1128/jcm.26.10.2152-2156.1988&quot;,&quot;ISSN&quot;:&quot;00951137&quot;,&quot;PMID&quot;:&quot;2846640&quot;,&quot;URL&quot;:&quot;https://pubmed.ncbi.nlm.nih.gov/2846640/&quot;,&quot;issued&quot;:{&quot;date-parts&quot;:[[1988]]},&quot;page&quot;:&quot;2152-2156&quot;,&quot;abstract&quot;:&quot;The etiology of the purple urine bag syndrome (PUBS), in which the urinary catheter bag of some elderly patients develops intense purple coloration, was studied. The purple was found to be a mixture of indirubin dissolved in the plastic and indigo on its surface. Six patients with PUBS were studied, and Providencia stuartii was isolated from the urine of five and Klebsiella pneumoniae was isolated from the urine of one. These strains produced indigo in 7.9 mM indoxyl sulfate-containing agar. One hundred and fifty isolates of 41 species of bacteria were tested for their ability to produce indigo on agar containing indoxyl sulfate, but only 17 of 27 strains of P. stuartii, a single strain of Klebsiella pneumoniae, and Enterobacter agglomerans were positive. All of the indigo-producing bacteria had an indoxyl phosphatase with a pI of 6.4. This enzyme also possessed indoxyl sulfatase activity and was not present in strains that were unable to produce indigo from indoxyl sulfate. We conclude that PUBS results from the decomposition of urinary indoxyl sulfate to indigo and indirubin by bacteria (notably P. stuartii). As elderly catheterized patients often have high urinary indoxyl sulfate levels and colonization of their urinary tract with P. stuartii, the condition is most commonly seen in them.&quot;,&quot;publisher&quot;:&quot;J Clin Microbiol&quot;,&quot;issue&quot;:&quot;10&quot;,&quot;volume&quot;:&quot;26&quot;,&quot;container-title-short&quot;:&quot;J. Clin. Microbiol.&quot;},&quot;isTemporary&quot;:false}]},{&quot;citationID&quot;:&quot;MENDELEY_CITATION_27d138b2-64f5-4bcf-995d-b72316dbff81&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&quot;,&quot;citationItems&quot;:[{&quot;id&quot;:&quot;520f73dd-832a-388d-a873-24f72a85bcdf&quot;,&quot;itemData&quot;:{&quot;type&quot;:&quot;article-journal&quot;,&quot;id&quot;:&quot;520f73dd-832a-388d-a873-24f72a85bcdf&quot;,&quot;title&quot;:&quot;An update on purple urine bag syndrome&quot;,&quot;author&quot;:[{&quot;family&quot;:&quot;Hadano&quot;,&quot;given&quot;:&quot;Yoshiro&quot;,&quot;parse-names&quot;:false,&quot;dropping-particle&quot;:&quot;&quot;,&quot;non-dropping-particle&quot;:&quot;&quot;},{&quot;family&quot;:&quot;Shimizu&quot;,&quot;given&quot;:&quot;Taro&quot;,&quot;parse-names&quot;:false,&quot;dropping-particle&quot;:&quot;&quot;,&quot;non-dropping-particle&quot;:&quot;&quot;},{&quot;family&quot;:&quot;Takada&quot;,&quot;given&quot;:&quot;Shimon&quot;,&quot;parse-names&quot;:false,&quot;dropping-particle&quot;:&quot;&quot;,&quot;non-dropping-particle&quot;:&quot;&quot;},{&quot;family&quot;:&quot;Inoue&quot;,&quot;given&quot;:&quot;Toshiya&quot;,&quot;parse-names&quot;:false,&quot;dropping-particle&quot;:&quot;&quot;,&quot;non-dropping-particle&quot;:&quot;&quot;},{&quot;family&quot;:&quot;Sorano&quot;,&quot;given&quot;:&quot;Sumire&quot;,&quot;parse-names&quot;:false,&quot;dropping-particle&quot;:&quot;&quot;,&quot;non-dropping-particle&quot;:&quot;&quot;}],&quot;container-title&quot;:&quot;International Journal of General Medicine&quot;,&quot;accessed&quot;:{&quot;date-parts&quot;:[[2026,2,7]]},&quot;DOI&quot;:&quot;10.2147/IJGM.S35320&quot;,&quot;ISSN&quot;:&quot;11787074&quot;,&quot;PMID&quot;:&quot;22969302&quot;,&quot;URL&quot;:&quot;https://pmc.ncbi.nlm.nih.gov/articles/PMC3437914/&quot;,&quot;issued&quot;:{&quot;date-parts&quot;:[[2012]]},&quot;page&quot;:&quot;707&quot;,&quot;abstract&quot;:&quot;Purple urine bag syndrome is characterized by the urinary drainage bag turning purple in patients on prolonged urinary catheterization, especially those in the bedridden state. It is associated with bacterial urinary tract infections caused by indigo-producing and indirubin-producing bacteria, usually affects women, and is associated with alkaline urine, constipation, and a high bacterial load in the urine. Almost all patients with purple urine bag syndrome are catheterized due to significant disability, and the urinary pH is 7.0 or more. In general, intensive treatment with antibiotics is not recommended. Purple urine bag syndrome per se almost always appears to be asymptomatic and harmless. However, caution is needed, because some cases have been reported to show progression to severe disease states, so further research into the morbidity and mortality of this infection is warranted. © 2012 Hadano et al, publisher and licensee Dove Medical Press Ltd.&quot;,&quot;publisher&quot;:&quot;Dove Medical Press Ltd.&quot;,&quot;volume&quot;:&quot;5&quot;,&quot;container-title-short&quot;:&quot;Int. J. Gen. Med.&quot;},&quot;isTemporary&quot;:false}]},{&quot;citationID&quot;:&quot;MENDELEY_CITATION_0ab8a1d1-25a3-4e62-b5f2-eae779326008&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&quot;,&quot;citationItems&quot;:[{&quot;id&quot;:&quot;7c49e8df-55dc-328e-ad65-861ea50b2fc2&quot;,&quot;itemData&quot;:{&quot;type&quot;:&quot;article-journal&quot;,&quot;id&quot;:&quot;7c49e8df-55dc-328e-ad65-861ea50b2fc2&quot;,&quot;title&quot;:&quot;Purple Urine Bag Syndrome: More Than Eyes Can See&quot;,&quot;author&quot;:[{&quot;family&quot;:&quot;Sabanis&quot;,&quot;given&quot;:&quot;Nikos&quot;,&quot;parse-names&quot;:false,&quot;dropping-particle&quot;:&quot;&quot;,&quot;non-dropping-particle&quot;:&quot;&quot;},{&quot;family&quot;:&quot;Paschou&quot;,&quot;given&quot;:&quot;Eleni&quot;,&quot;parse-names&quot;:false,&quot;dropping-particle&quot;:&quot;&quot;,&quot;non-dropping-particle&quot;:&quot;&quot;},{&quot;family&quot;:&quot;Papanikolaou&quot;,&quot;given&quot;:&quot;Panagiota&quot;,&quot;parse-names&quot;:false,&quot;dropping-particle&quot;:&quot;&quot;,&quot;non-dropping-particle&quot;:&quot;&quot;},{&quot;family&quot;:&quot;Zagkotsis&quot;,&quot;given&quot;:&quot;Georgios&quot;,&quot;parse-names&quot;:false,&quot;dropping-particle&quot;:&quot;&quot;,&quot;non-dropping-particle&quot;:&quot;&quot;}],&quot;container-title&quot;:&quot;Current Urology&quot;,&quot;accessed&quot;:{&quot;date-parts&quot;:[[2026,2,7]]},&quot;DOI&quot;:&quot;10.1159/000499281&quot;,&quot;ISSN&quot;:&quot;16617657&quot;,&quot;PMID&quot;:&quot;31933590&quot;,&quot;URL&quot;:&quot;https://pmc.ncbi.nlm.nih.gov/articles/PMC6944938/&quot;,&quot;issued&quot;:{&quot;date-parts&quot;:[[2019,11,1]]},&quot;page&quot;:&quot;125&quot;,&quot;abstract&quot;:&quot;Background/Aims: Purple urine bag syndrome (PUBS) is an uncommon clinical entity characterized by purple urine discoloration in the setting of urinary tract infections. Pa-thophysiology of PUBS has been correlated to aberrant metabolism of tryptophan. Multiple predisposing factors have been recognized, namely: female gender, advanced age, constipation, institutionalization, long-term catheter-ization, dementia and chronic kidney disease. Herein, we present a comprehensive review of all PUBS cases reported in PubMed, focusing on the predisposing factors and the microorganisms related to PUBS. Methods: We performed a search in PubMed database for articles referring to PUBS, published in English, French, Spanish and German from January 1978 until November 2017. The literature recruitment strategy was based on several keywords and Medical Subject Heading combination such as \&quot;purple urine bag syndrome\&quot; or PUBS or \&quot;urine discoloration\&quot;. The finally selected articles were categorized into case reports/series (88 articles including 112 patients) and studies (10 articles including 134 patients). Demographical data as well as predisposing factors were recorded and further analyzed. Results: According to our findings, mean age of PUBS patients was 78.9 ± 12.3 years, 70.7% were female while 90.1% were suffering from constipation, 76.1% were in a bedridden situation, 45.1% were experiencing long-term catheterization, 42.8% had been diagnosed with dementia, 14.3% had recurrent urinary tract infections and 14.1% were chronic kidney disease patients. 91.3% of patients presenting with PUBS alkaline urine were observed while the most common microbe in urine cultures was E. coli. Conclusions: PUBS is considered benign process in the majority of catheterized patients. Clinicians should be aware of the syndrome that may indicate serious comorbidities.&quot;,&quot;publisher&quot;:&quot;S. Karger AG&quot;,&quot;issue&quot;:&quot;3&quot;,&quot;volume&quot;:&quot;13&quot;,&quot;container-title-short&quot;:&quot;Curr. Urol.&quot;},&quot;isTemporary&quot;:false}]},{&quot;citationID&quot;:&quot;MENDELEY_CITATION_d9e5af69-adcf-416a-ad82-0e0b5213e16a&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&quot;,&quot;citationItems&quot;:[{&quot;id&quot;:&quot;eaaabac0-9214-3b38-b84f-98470e5d2c21&quot;,&quot;itemData&quot;:{&quot;type&quot;:&quot;article-journal&quot;,&quot;id&quot;:&quot;eaaabac0-9214-3b38-b84f-98470e5d2c21&quot;,&quot;title&quot;:&quot;Urethral Catheter Biofilms Reveal Plasticity in Bacterial Composition and Metabolism and Withstand Host Immune Defenses in Hypoxic Environment&quot;,&quot;author&quot;:[{&quot;family&quot;:&quot;Yu&quot;,&quot;given&quot;:&quot;Yanbao&quot;,&quot;parse-names&quot;:false,&quot;dropping-particle&quot;:&quot;&quot;,&quot;non-dropping-particle&quot;:&quot;&quot;},{&quot;family&quot;:&quot;Singh&quot;,&quot;given&quot;:&quot;Harinder&quot;,&quot;parse-names&quot;:false,&quot;dropping-particle&quot;:&quot;&quot;,&quot;non-dropping-particle&quot;:&quot;&quot;},{&quot;family&quot;:&quot;Tsitrin&quot;,&quot;given&quot;:&quot;Tamara&quot;,&quot;parse-names&quot;:false,&quot;dropping-particle&quot;:&quot;&quot;,&quot;non-dropping-particle&quot;:&quot;&quot;},{&quot;family&quot;:&quot;Bekele&quot;,&quot;given&quot;:&quot;Shiferaw&quot;,&quot;parse-names&quot;:false,&quot;dropping-particle&quot;:&quot;&quot;,&quot;non-dropping-particle&quot;:&quot;&quot;},{&quot;family&quot;:&quot;Lin&quot;,&quot;given&quot;:&quot;Yi Han&quot;,&quot;parse-names&quot;:false,&quot;dropping-particle&quot;:&quot;&quot;,&quot;non-dropping-particle&quot;:&quot;&quot;},{&quot;family&quot;:&quot;Sikorski&quot;,&quot;given&quot;:&quot;Patricia&quot;,&quot;parse-names&quot;:false,&quot;dropping-particle&quot;:&quot;&quot;,&quot;non-dropping-particle&quot;:&quot;&quot;},{&quot;family&quot;:&quot;Moncera&quot;,&quot;given&quot;:&quot;Kelvin J.&quot;,&quot;parse-names&quot;:false,&quot;dropping-particle&quot;:&quot;&quot;,&quot;non-dropping-particle&quot;:&quot;&quot;},{&quot;family&quot;:&quot;Torralba&quot;,&quot;given&quot;:&quot;Manolito G.&quot;,&quot;parse-names&quot;:false,&quot;dropping-particle&quot;:&quot;&quot;,&quot;non-dropping-particle&quot;:&quot;&quot;},{&quot;family&quot;:&quot;Morrow&quot;,&quot;given&quot;:&quot;Lisa&quot;,&quot;parse-names&quot;:false,&quot;dropping-particle&quot;:&quot;&quot;,&quot;non-dropping-particle&quot;:&quot;&quot;},{&quot;family&quot;:&quot;Wolcott&quot;,&quot;given&quot;:&quot;Randall&quot;,&quot;parse-names&quot;:false,&quot;dropping-particle&quot;:&quot;&quot;,&quot;non-dropping-particle&quot;:&quot;&quot;},{&quot;family&quot;:&quot;Nelson&quot;,&quot;given&quot;:&quot;Karen E.&quot;,&quot;parse-names&quot;:false,&quot;dropping-particle&quot;:&quot;&quot;,&quot;non-dropping-particle&quot;:&quot;&quot;},{&quot;family&quot;:&quot;Pieper&quot;,&quot;given&quot;:&quot;Rembert&quot;,&quot;parse-names&quot;:false,&quot;dropping-particle&quot;:&quot;&quot;,&quot;non-dropping-particle&quot;:&quot;&quot;}],&quot;container-title&quot;:&quot;Frontiers in Medicine&quot;,&quot;accessed&quot;:{&quot;date-parts&quot;:[[2026,2,9]]},&quot;DOI&quot;:&quot;10.3389/fmed.2021.667462&quot;,&quot;ISSN&quot;:&quot;2296858X&quot;,&quot;URL&quot;:&quot;https://pmc.ncbi.nlm.nih.gov/articles/PMC8260951/&quot;,&quot;issued&quot;:{&quot;date-parts&quot;:[[2021,6,23]]},&quot;page&quot;:&quot;667462&quot;,&quot;abstract&quot;:&quot;Biofilms composed of multiple microorganisms colonize the surfaces of indwelling urethral catheters that are used serially by neurogenic bladder patients and cause chronic infections. Well-adapted pathogens in this niche are Escherichia coli, Proteus, and Enterococcus spp., species that cycle through adhesion and multilayered cell growth, trigger host immune responses, are starved off nutrients, and then disperse. Viable microbial foci retained in the urinary tract recolonize catheter surfaces. The molecular adaptations of bacteria in catheter biofilms (CBs) are not well-understood, promising new insights into this pathology based on host and microbial meta-omics analyses from clinical specimens. We examined catheters from nine neurogenic bladder patients longitudinally over up to 6 months. Taxonomic analyses from 16S rRNA gene sequencing and liquid chromatography–tandem mass spectrometry (LC-MS/MS)–based proteomics revealed that 95% of all catheter and corresponding urinary pellet (UP) samples contained bacteria. CB biomasses were dominated by Enterobacteriaceae spp. and often accompanied by lactic acid and anaerobic bacteria. Systemic antibiotic drug treatments of patients resulted in either transient or lasting microbial community perturbations. Neutrophil effector proteins were abundant not only in UP but also CB samples, indicating their penetration of biofilm surfaces. In the context of one patient who advanced to a kidney infection, Proteus mirabilis proteomic data suggested a combination of factors associated with this disease complication: CB biomasses were high; the bacteria produced urease alkalinizing the pH and triggering urinary salt deposition on luminal catheter surfaces; P. mirabilis utilized energy-producing respiratory systems more than in CBs from other patients. The NADH:quinone oxidoreductase II (Nqr), a Na+ translocating enzyme not operating as a proton pump, and the nitrate reductase A (Nar) equipped the pathogen with electron transport chains promoting growth under hypoxic conditions. Both P. mirabilis and E. coli featured repertoires of transition metal ion acquisition systems in response to human host-mediated iron and zinc sequestration. We discovered a new drug target, the Nqr respiratory system, whose deactivation may compromise P. mirabilis growth in a basic pH milieu. Animal models would not allow such molecular-level insights into polymicrobial biofilm metabolism and interactions because the complexity cannot be replicated.&quot;,&quot;publisher&quot;:&quot;Frontiers Media S.A.&quot;,&quot;volume&quot;:&quot;8&quot;,&quot;container-title-short&quot;:&quot;Front. Med. (Lausanne).&quot;},&quot;isTemporary&quot;:false}]},{&quot;citationID&quot;:&quot;MENDELEY_CITATION_f3a6c564-c6b5-4dd5-90c2-8312d493c8e4&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&quot;,&quot;citationItems&quot;:[{&quot;id&quot;:&quot;939af80d-2401-3d2c-9e62-7191937be538&quot;,&quot;itemData&quot;:{&quot;type&quot;:&quot;article-journal&quot;,&quot;id&quot;:&quot;939af80d-2401-3d2c-9e62-7191937be538&quot;,&quot;title&quot;:&quot;Mass spectrometry analysis of urine and catheter of a patient with purple urinary bag syndrome&quot;,&quot;author&quot;:[{&quot;family&quot;:&quot;Bar-Or&quot;,&quot;given&quot;:&quot;David&quot;,&quot;parse-names&quot;:false,&quot;dropping-particle&quot;:&quot;&quot;,&quot;non-dropping-particle&quot;:&quot;&quot;},{&quot;family&quot;:&quot;Rael&quot;,&quot;given&quot;:&quot;Leonard T.&quot;,&quot;parse-names&quot;:false,&quot;dropping-particle&quot;:&quot;&quot;,&quot;non-dropping-particle&quot;:&quot;&quot;},{&quot;family&quot;:&quot;Bar-Or&quot;,&quot;given&quot;:&quot;Raphael&quot;,&quot;parse-names&quot;:false,&quot;dropping-particle&quot;:&quot;&quot;,&quot;non-dropping-particle&quot;:&quot;&quot;},{&quot;family&quot;:&quot;Craun&quot;,&quot;given&quot;:&quot;Michael L.&quot;,&quot;parse-names&quot;:false,&quot;dropping-particle&quot;:&quot;&quot;,&quot;non-dropping-particle&quot;:&quot;&quot;},{&quot;family&quot;:&quot;Statz&quot;,&quot;given&quot;:&quot;Jessica&quot;,&quot;parse-names&quot;:false,&quot;dropping-particle&quot;:&quot;&quot;,&quot;non-dropping-particle&quot;:&quot;&quot;},{&quot;family&quot;:&quot;Garrett&quot;,&quot;given&quot;:&quot;Raymond E.&quot;,&quot;parse-names&quot;:false,&quot;dropping-particle&quot;:&quot;&quot;,&quot;non-dropping-particle&quot;:&quot;&quot;}],&quot;container-title&quot;:&quot;Clinica Chimica Acta&quot;,&quot;accessed&quot;:{&quot;date-parts&quot;:[[2026,2,9]]},&quot;DOI&quot;:&quot;10.1016/j.cca.2006.11.015&quot;,&quot;ISSN&quot;:&quot;00098981&quot;,&quot;PMID&quot;:&quot;17196573&quot;,&quot;URL&quot;:&quot;https://www.sciencedirect.com/science/article/abs/pii/S0009898106007285?via%3Dihub&quot;,&quot;issued&quot;:{&quot;date-parts&quot;:[[2007,3,1]]},&quot;page&quot;:&quot;216-218&quot;,&quot;abstract&quot;:&quot;Introduction: Purple urinary bag syndrome (PUBS) is considered to be a benign condition observed in the urinary catheter and bag in some catheterized patients with urinary tract infections. This syndrome is usually reported to occur in alkaline urine. Case report: We report of a catheterized patient with PUBS and slightly acidic urine (pH 6-6.5). A novel analysis method was developed using high pressure liquid chromatography and mass spectrometry (HPLC/MS) to detect compounds that are thought to be associated with PUBS. Urine, urinary sediment, and the plastic collection system were assayed and quantitated using these methods. The potential toxicity of one of these compounds, indoxyl sulfate, is discussed. Conclusions: The presence of PUBS in a catheterized patient with slightly acidic urine is reported. A novel method for the analysis of chemical components of PUBS and the first direct confirmation of the presence of indigo in the urine sediment and collecting system are described. © 2006 Elsevier B.V. All rights reserved.&quot;,&quot;publisher&quot;:&quot;Elsevier&quot;,&quot;issue&quot;:&quot;1-2&quot;,&quot;volume&quot;:&quot;378&quot;,&quot;container-title-short&quot;:&quot;&quot;},&quot;isTemporary&quot;:false}]},{&quot;citationID&quot;:&quot;MENDELEY_CITATION_efcd99a4-6920-451d-814f-de8e2d7f7ed0&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&quot;,&quot;citationItems&quot;:[{&quot;id&quot;:&quot;807ed8a2-391d-38f9-8c2e-f87db1f8b95c&quot;,&quot;itemData&quot;:{&quot;type&quot;:&quot;article-journal&quot;,&quot;id&quot;:&quot;807ed8a2-391d-38f9-8c2e-f87db1f8b95c&quot;,&quot;title&quot;:&quot;Trends in the epidemiology of purple urine bag syndrome: A systematic review&quot;,&quot;author&quot;:[{&quot;family&quot;:&quot;Yang&quot;,&quot;given&quot;:&quot;Hsiu Wu&quot;,&quot;parse-names&quot;:false,&quot;dropping-particle&quot;:&quot;&quot;,&quot;non-dropping-particle&quot;:&quot;&quot;},{&quot;family&quot;:&quot;Su&quot;,&quot;given&quot;:&quot;Yu Jang&quot;,&quot;parse-names&quot;:false,&quot;dropping-particle&quot;:&quot;&quot;,&quot;non-dropping-particle&quot;:&quot;&quot;}],&quot;container-title&quot;:&quot;Biomedical Reports&quot;,&quot;accessed&quot;:{&quot;date-parts&quot;:[[2026,2,9]]},&quot;DOI&quot;:&quot;10.3892/br.2018.1046&quot;,&quot;ISSN&quot;:&quot;20499442&quot;,&quot;PMID&quot;:&quot;29564123&quot;,&quot;URL&quot;:&quot;https://pmc.ncbi.nlm.nih.gov/articles/PMC5854937/&quot;,&quot;issued&quot;:{&quot;date-parts&quot;:[[2018,3,1]]},&quot;page&quot;:&quot;249&quot;,&quot;abstract&quot;:&quot;Purple urine bag syndrome (PUBS) is rarely observed in clinical practice. The present study aimed to identify the epidemiological trends in PUBS in recent decades. A search of PubMed articles published between 1980 October and 2016 August was conducted, in which 106 articles (174 cases) described PUBS. Of these cases, 58 cases were excluded: 14 cases without mention of gender, 4 cases without description of age, 37 cases without mention of white blood cell (WBC) count, shock status, fever status or description of etiology, and 3 cases without information on mortality. The remaining 116 PUBS cases were collected and analyzed in the present study. The articles were divided into three groups by publication year: 1991 to 2000, 2001 to 2010 and 2011 to 2016. The χ2 test was used for statistical analysis, with P&lt;0.05 (two-tailed) defined as the threshold for significance. Of the total enrolled cases, there were 47 men (40.5%) and 69 women (59.5%), with a mean age ± standard deviation of 75.6±12.8 years. Of these, 98 cases (84.5%) were elderly (≥65 years old). A total of 93.1% of cases had a urine pH &gt;7 while 6.9% of cases had acidic urine (pH &lt;7). Furthermore, although WBC count elevated progressively, the mortality rate of patients with PUBS decreased over subsequent decades. This necessitates the advancement of antibiotics and application of early goal-directed therapy. Additionally, the overall mortality rate of PUBS (1980-2016) was 6.8%, which decreased to 4.3% in the last 5 years (2011-2016). In conclusion, although PUBS has previously been considered a benign process in the majority of indwelling catheterized patients, emphasis is required on early examination and aggressive antibiotic administration.&quot;,&quot;publisher&quot;:&quot;Spandidos Publications&quot;,&quot;issue&quot;:&quot;3&quot;,&quot;volume&quot;:&quot;8&quot;,&quot;container-title-short&quot;:&quot;Biomed. Rep.&quot;},&quot;isTemporary&quot;:false}]}]"/>
    <we:property name="MENDELEY_CITATIONS_STYLE" value="{&quot;id&quot;:&quot;https://www.zotero.org/styles/vancouver-superscript&quot;,&quot;title&quot;:&quot;NLM/Vancouver: Citing Medicine 2nd edition (citation-sequence, superscript)&quot;,&quot;format&quot;:&quot;numeric&quot;,&quot;defaultLocale&quot;:null,&quot;isLocaleCodeValid&quot;:true}"/>
    <we:property name="MENDELEY_BIBLIOGRAPHY_IS_DIRTY" value="true"/>
    <we:property name="MENDELEY_BIBLIOGRAPHY_LAST_MODIFIED" value="1774055086295"/>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9</Pages>
  <Words>2798</Words>
  <Characters>15955</Characters>
  <Application>Microsoft Office Word</Application>
  <DocSecurity>0</DocSecurity>
  <Lines>132</Lines>
  <Paragraphs>37</Paragraphs>
  <ScaleCrop>false</ScaleCrop>
  <Company/>
  <LinksUpToDate>false</LinksUpToDate>
  <CharactersWithSpaces>18716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Francisco Bonilla</cp:lastModifiedBy>
  <cp:revision>11</cp:revision>
  <dcterms:created xsi:type="dcterms:W3CDTF">2026-02-08T23:28:00Z</dcterms:created>
  <dcterms:modified xsi:type="dcterms:W3CDTF">2026-06-25T12:36:00Z</dcterms:modified>
</cp:coreProperties>
</file>