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EB7D" w14:textId="77777777" w:rsidR="00A07745" w:rsidRPr="0056639C" w:rsidRDefault="00000000">
      <w:pPr>
        <w:spacing w:line="360" w:lineRule="auto"/>
        <w:rPr>
          <w:sz w:val="20"/>
          <w:szCs w:val="20"/>
        </w:rPr>
      </w:pPr>
      <w:r w:rsidRPr="0056639C">
        <w:rPr>
          <w:b/>
          <w:sz w:val="20"/>
          <w:szCs w:val="20"/>
        </w:rPr>
        <w:t>Title</w:t>
      </w:r>
      <w:r w:rsidRPr="0056639C">
        <w:rPr>
          <w:sz w:val="20"/>
          <w:szCs w:val="20"/>
        </w:rPr>
        <w:t xml:space="preserve">: Association Between Diabetes Mellitus and Intraoperative Awareness During General Anesthesia: A Retrospective Cohort Study </w:t>
      </w:r>
    </w:p>
    <w:p w14:paraId="3CEB0808" w14:textId="77777777" w:rsidR="00A07745" w:rsidRPr="0056639C" w:rsidRDefault="00A07745">
      <w:pPr>
        <w:spacing w:line="360" w:lineRule="auto"/>
        <w:rPr>
          <w:sz w:val="20"/>
          <w:szCs w:val="20"/>
        </w:rPr>
      </w:pPr>
    </w:p>
    <w:p w14:paraId="1F9FEAC8" w14:textId="77777777" w:rsidR="00A07745" w:rsidRPr="0056639C" w:rsidRDefault="00000000">
      <w:pPr>
        <w:spacing w:line="360" w:lineRule="auto"/>
        <w:rPr>
          <w:sz w:val="20"/>
          <w:szCs w:val="20"/>
        </w:rPr>
      </w:pPr>
      <w:r w:rsidRPr="0056639C">
        <w:rPr>
          <w:b/>
          <w:sz w:val="20"/>
          <w:szCs w:val="20"/>
        </w:rPr>
        <w:t>Article type:</w:t>
      </w:r>
      <w:r w:rsidRPr="0056639C">
        <w:rPr>
          <w:sz w:val="20"/>
          <w:szCs w:val="20"/>
        </w:rPr>
        <w:t xml:space="preserve"> Original Article</w:t>
      </w:r>
    </w:p>
    <w:p w14:paraId="54FEC642" w14:textId="77777777" w:rsidR="00A07745" w:rsidRPr="0056639C" w:rsidRDefault="00A07745">
      <w:pPr>
        <w:spacing w:line="360" w:lineRule="auto"/>
        <w:rPr>
          <w:sz w:val="20"/>
          <w:szCs w:val="20"/>
        </w:rPr>
      </w:pPr>
    </w:p>
    <w:p w14:paraId="4D08B661" w14:textId="77777777" w:rsidR="00A07745" w:rsidRPr="0056639C" w:rsidRDefault="00000000">
      <w:pPr>
        <w:spacing w:line="360" w:lineRule="auto"/>
        <w:rPr>
          <w:b/>
          <w:sz w:val="20"/>
          <w:szCs w:val="20"/>
        </w:rPr>
      </w:pPr>
      <w:r w:rsidRPr="0056639C">
        <w:rPr>
          <w:b/>
          <w:sz w:val="20"/>
          <w:szCs w:val="20"/>
        </w:rPr>
        <w:t xml:space="preserve">Author names: </w:t>
      </w:r>
    </w:p>
    <w:p w14:paraId="6249905C" w14:textId="77777777" w:rsidR="00A07745" w:rsidRPr="0056639C" w:rsidRDefault="00000000">
      <w:pPr>
        <w:spacing w:line="360" w:lineRule="auto"/>
        <w:rPr>
          <w:sz w:val="20"/>
          <w:szCs w:val="20"/>
        </w:rPr>
      </w:pPr>
      <w:r w:rsidRPr="0056639C">
        <w:rPr>
          <w:sz w:val="20"/>
          <w:szCs w:val="20"/>
        </w:rPr>
        <w:t>1.</w:t>
      </w:r>
      <w:r w:rsidRPr="0056639C">
        <w:rPr>
          <w:sz w:val="20"/>
          <w:szCs w:val="20"/>
        </w:rPr>
        <w:tab/>
        <w:t>Zhenghao Wang</w:t>
      </w:r>
    </w:p>
    <w:p w14:paraId="3B34138E" w14:textId="77777777" w:rsidR="00A07745" w:rsidRPr="0056639C" w:rsidRDefault="00000000">
      <w:pPr>
        <w:spacing w:line="360" w:lineRule="auto"/>
        <w:rPr>
          <w:sz w:val="20"/>
          <w:szCs w:val="20"/>
        </w:rPr>
      </w:pPr>
      <w:r w:rsidRPr="0056639C">
        <w:rPr>
          <w:sz w:val="20"/>
          <w:szCs w:val="20"/>
        </w:rPr>
        <w:t>2.</w:t>
      </w:r>
      <w:r w:rsidRPr="0056639C">
        <w:rPr>
          <w:sz w:val="20"/>
          <w:szCs w:val="20"/>
        </w:rPr>
        <w:tab/>
        <w:t>Ngoc Bich Nguyen</w:t>
      </w:r>
    </w:p>
    <w:p w14:paraId="57DF0B45" w14:textId="77777777" w:rsidR="00A07745" w:rsidRPr="0056639C" w:rsidRDefault="00000000">
      <w:pPr>
        <w:spacing w:line="360" w:lineRule="auto"/>
        <w:rPr>
          <w:sz w:val="20"/>
          <w:szCs w:val="20"/>
        </w:rPr>
      </w:pPr>
      <w:r w:rsidRPr="0056639C">
        <w:rPr>
          <w:sz w:val="20"/>
          <w:szCs w:val="20"/>
        </w:rPr>
        <w:t>3.</w:t>
      </w:r>
      <w:r w:rsidRPr="0056639C">
        <w:rPr>
          <w:sz w:val="20"/>
          <w:szCs w:val="20"/>
        </w:rPr>
        <w:tab/>
        <w:t>Eduardo D. Espiridion</w:t>
      </w:r>
    </w:p>
    <w:p w14:paraId="22C04A5B" w14:textId="77777777" w:rsidR="00A07745" w:rsidRPr="0056639C" w:rsidRDefault="00A07745">
      <w:pPr>
        <w:spacing w:line="360" w:lineRule="auto"/>
        <w:rPr>
          <w:sz w:val="20"/>
          <w:szCs w:val="20"/>
        </w:rPr>
      </w:pPr>
    </w:p>
    <w:p w14:paraId="45F15B4D" w14:textId="77777777" w:rsidR="00A07745" w:rsidRPr="0056639C" w:rsidRDefault="00000000">
      <w:pPr>
        <w:spacing w:line="360" w:lineRule="auto"/>
        <w:rPr>
          <w:sz w:val="20"/>
          <w:szCs w:val="20"/>
        </w:rPr>
      </w:pPr>
      <w:r w:rsidRPr="0056639C">
        <w:rPr>
          <w:b/>
          <w:sz w:val="20"/>
          <w:szCs w:val="20"/>
        </w:rPr>
        <w:t>Degrees and Affiliations:</w:t>
      </w:r>
      <w:r w:rsidRPr="0056639C">
        <w:rPr>
          <w:sz w:val="20"/>
          <w:szCs w:val="20"/>
        </w:rPr>
        <w:t xml:space="preserve"> </w:t>
      </w:r>
    </w:p>
    <w:p w14:paraId="5748756F" w14:textId="269F29FA" w:rsidR="00A07745" w:rsidRPr="0056639C" w:rsidRDefault="00000000">
      <w:pPr>
        <w:spacing w:line="360" w:lineRule="auto"/>
        <w:rPr>
          <w:sz w:val="20"/>
          <w:szCs w:val="20"/>
        </w:rPr>
      </w:pPr>
      <w:r w:rsidRPr="0056639C">
        <w:rPr>
          <w:sz w:val="20"/>
          <w:szCs w:val="20"/>
        </w:rPr>
        <w:t>1.</w:t>
      </w:r>
      <w:r w:rsidRPr="0056639C">
        <w:rPr>
          <w:sz w:val="20"/>
          <w:szCs w:val="20"/>
        </w:rPr>
        <w:tab/>
        <w:t xml:space="preserve">BA. Second-year Medical Student. Drexel University College of Medicine, West Reading, Pennsylvania, </w:t>
      </w:r>
      <w:r w:rsidR="00362260">
        <w:rPr>
          <w:sz w:val="20"/>
          <w:szCs w:val="20"/>
        </w:rPr>
        <w:t>United States</w:t>
      </w:r>
      <w:r w:rsidRPr="0056639C">
        <w:rPr>
          <w:sz w:val="20"/>
          <w:szCs w:val="20"/>
        </w:rPr>
        <w:t>.</w:t>
      </w:r>
    </w:p>
    <w:p w14:paraId="11CE02B6" w14:textId="431A210E" w:rsidR="00A07745" w:rsidRPr="0056639C" w:rsidRDefault="00000000">
      <w:pPr>
        <w:spacing w:line="360" w:lineRule="auto"/>
        <w:rPr>
          <w:sz w:val="20"/>
          <w:szCs w:val="20"/>
        </w:rPr>
      </w:pPr>
      <w:r w:rsidRPr="0056639C">
        <w:rPr>
          <w:sz w:val="20"/>
          <w:szCs w:val="20"/>
        </w:rPr>
        <w:t>2.</w:t>
      </w:r>
      <w:r w:rsidRPr="0056639C">
        <w:rPr>
          <w:sz w:val="20"/>
          <w:szCs w:val="20"/>
        </w:rPr>
        <w:tab/>
        <w:t xml:space="preserve">BS. Second-year Medical Student. Drexel University College of Medicine, West Reading, Pennsylvania, </w:t>
      </w:r>
      <w:r w:rsidR="00362260">
        <w:rPr>
          <w:sz w:val="20"/>
          <w:szCs w:val="20"/>
        </w:rPr>
        <w:t>United States</w:t>
      </w:r>
      <w:r w:rsidRPr="0056639C">
        <w:rPr>
          <w:sz w:val="20"/>
          <w:szCs w:val="20"/>
        </w:rPr>
        <w:t>.</w:t>
      </w:r>
    </w:p>
    <w:p w14:paraId="274ABC5D" w14:textId="5C72E9A1" w:rsidR="00A07745" w:rsidRPr="0056639C" w:rsidRDefault="00000000">
      <w:pPr>
        <w:spacing w:line="360" w:lineRule="auto"/>
        <w:rPr>
          <w:sz w:val="20"/>
          <w:szCs w:val="20"/>
        </w:rPr>
      </w:pPr>
      <w:r w:rsidRPr="0056639C">
        <w:rPr>
          <w:sz w:val="20"/>
          <w:szCs w:val="20"/>
        </w:rPr>
        <w:t>3.</w:t>
      </w:r>
      <w:r w:rsidRPr="0056639C">
        <w:rPr>
          <w:sz w:val="20"/>
          <w:szCs w:val="20"/>
        </w:rPr>
        <w:tab/>
        <w:t xml:space="preserve">MD. Department of Psychiatry, Tower Health Hospital, West Reading, </w:t>
      </w:r>
      <w:r w:rsidR="00D30BAE">
        <w:rPr>
          <w:sz w:val="20"/>
          <w:szCs w:val="20"/>
        </w:rPr>
        <w:t xml:space="preserve">Pennsylvania, </w:t>
      </w:r>
      <w:r w:rsidR="00362260">
        <w:rPr>
          <w:sz w:val="20"/>
          <w:szCs w:val="20"/>
        </w:rPr>
        <w:t>United States</w:t>
      </w:r>
      <w:r w:rsidRPr="0056639C">
        <w:rPr>
          <w:sz w:val="20"/>
          <w:szCs w:val="20"/>
        </w:rPr>
        <w:t>.</w:t>
      </w:r>
    </w:p>
    <w:p w14:paraId="7928F0C2" w14:textId="77777777" w:rsidR="00A07745" w:rsidRPr="0056639C" w:rsidRDefault="00A07745">
      <w:pPr>
        <w:spacing w:line="360" w:lineRule="auto"/>
        <w:rPr>
          <w:sz w:val="20"/>
          <w:szCs w:val="20"/>
        </w:rPr>
      </w:pPr>
    </w:p>
    <w:p w14:paraId="32A92C6D" w14:textId="77777777" w:rsidR="00A07745" w:rsidRPr="0056639C" w:rsidRDefault="00000000">
      <w:pPr>
        <w:spacing w:line="360" w:lineRule="auto"/>
        <w:rPr>
          <w:b/>
          <w:sz w:val="20"/>
          <w:szCs w:val="20"/>
        </w:rPr>
      </w:pPr>
      <w:r w:rsidRPr="0056639C">
        <w:rPr>
          <w:b/>
          <w:sz w:val="20"/>
          <w:szCs w:val="20"/>
        </w:rPr>
        <w:t xml:space="preserve">ORCID (Open Researcher and Contributor Identifier): </w:t>
      </w:r>
    </w:p>
    <w:p w14:paraId="1F1A254B" w14:textId="77777777" w:rsidR="00A07745" w:rsidRPr="0056639C" w:rsidRDefault="00000000">
      <w:pPr>
        <w:spacing w:line="360" w:lineRule="auto"/>
        <w:rPr>
          <w:sz w:val="20"/>
          <w:szCs w:val="20"/>
        </w:rPr>
      </w:pPr>
      <w:r w:rsidRPr="0056639C">
        <w:rPr>
          <w:sz w:val="20"/>
          <w:szCs w:val="20"/>
        </w:rPr>
        <w:t>1.</w:t>
      </w:r>
      <w:r w:rsidRPr="0056639C">
        <w:rPr>
          <w:sz w:val="20"/>
          <w:szCs w:val="20"/>
        </w:rPr>
        <w:tab/>
      </w:r>
      <w:hyperlink r:id="rId8">
        <w:r w:rsidR="00A07745" w:rsidRPr="0056639C">
          <w:rPr>
            <w:color w:val="1155CC"/>
            <w:sz w:val="20"/>
            <w:szCs w:val="20"/>
            <w:u w:val="single"/>
          </w:rPr>
          <w:t>https://orcid.org/0009-0004-1515-9476</w:t>
        </w:r>
      </w:hyperlink>
      <w:r w:rsidRPr="0056639C">
        <w:rPr>
          <w:sz w:val="20"/>
          <w:szCs w:val="20"/>
        </w:rPr>
        <w:t xml:space="preserve"> </w:t>
      </w:r>
    </w:p>
    <w:p w14:paraId="491583F7" w14:textId="77777777" w:rsidR="00A07745" w:rsidRPr="0056639C" w:rsidRDefault="00000000">
      <w:pPr>
        <w:spacing w:line="360" w:lineRule="auto"/>
        <w:rPr>
          <w:sz w:val="20"/>
          <w:szCs w:val="20"/>
        </w:rPr>
      </w:pPr>
      <w:r w:rsidRPr="0056639C">
        <w:rPr>
          <w:sz w:val="20"/>
          <w:szCs w:val="20"/>
        </w:rPr>
        <w:t>2.</w:t>
      </w:r>
      <w:r w:rsidRPr="0056639C">
        <w:rPr>
          <w:sz w:val="20"/>
          <w:szCs w:val="20"/>
        </w:rPr>
        <w:tab/>
      </w:r>
      <w:hyperlink r:id="rId9">
        <w:r w:rsidR="00A07745" w:rsidRPr="0056639C">
          <w:rPr>
            <w:color w:val="1155CC"/>
            <w:sz w:val="20"/>
            <w:szCs w:val="20"/>
            <w:u w:val="single"/>
          </w:rPr>
          <w:t>https://orcid.org/0009-0003-8666-1167</w:t>
        </w:r>
      </w:hyperlink>
      <w:r w:rsidRPr="0056639C">
        <w:rPr>
          <w:sz w:val="20"/>
          <w:szCs w:val="20"/>
        </w:rPr>
        <w:t xml:space="preserve"> </w:t>
      </w:r>
    </w:p>
    <w:p w14:paraId="59746CC7" w14:textId="77777777" w:rsidR="00A07745" w:rsidRPr="0056639C" w:rsidRDefault="00000000">
      <w:pPr>
        <w:spacing w:line="360" w:lineRule="auto"/>
        <w:rPr>
          <w:sz w:val="20"/>
          <w:szCs w:val="20"/>
        </w:rPr>
      </w:pPr>
      <w:r w:rsidRPr="0056639C">
        <w:rPr>
          <w:sz w:val="20"/>
          <w:szCs w:val="20"/>
        </w:rPr>
        <w:t>3.</w:t>
      </w:r>
      <w:r w:rsidRPr="0056639C">
        <w:rPr>
          <w:sz w:val="20"/>
          <w:szCs w:val="20"/>
        </w:rPr>
        <w:tab/>
      </w:r>
      <w:hyperlink r:id="rId10">
        <w:r w:rsidR="00A07745" w:rsidRPr="0056639C">
          <w:rPr>
            <w:color w:val="1155CC"/>
            <w:sz w:val="20"/>
            <w:szCs w:val="20"/>
            <w:u w:val="single"/>
          </w:rPr>
          <w:t>http://orcid.org/0000-0001-8471-5203</w:t>
        </w:r>
      </w:hyperlink>
      <w:r w:rsidRPr="0056639C">
        <w:rPr>
          <w:sz w:val="20"/>
          <w:szCs w:val="20"/>
        </w:rPr>
        <w:t xml:space="preserve"> </w:t>
      </w:r>
    </w:p>
    <w:p w14:paraId="627DE429" w14:textId="77777777" w:rsidR="00A07745" w:rsidRPr="0056639C" w:rsidRDefault="00A07745">
      <w:pPr>
        <w:spacing w:line="360" w:lineRule="auto"/>
        <w:rPr>
          <w:sz w:val="20"/>
          <w:szCs w:val="20"/>
        </w:rPr>
      </w:pPr>
    </w:p>
    <w:p w14:paraId="12A6D8E1" w14:textId="3F79B3A2" w:rsidR="00A07745" w:rsidRPr="0056639C" w:rsidRDefault="00000000">
      <w:pPr>
        <w:spacing w:line="360" w:lineRule="auto"/>
        <w:rPr>
          <w:sz w:val="20"/>
          <w:szCs w:val="20"/>
        </w:rPr>
      </w:pPr>
      <w:r w:rsidRPr="0056639C">
        <w:rPr>
          <w:b/>
          <w:sz w:val="20"/>
          <w:szCs w:val="20"/>
        </w:rPr>
        <w:t>About the Author:</w:t>
      </w:r>
      <w:r w:rsidRPr="0056639C">
        <w:rPr>
          <w:sz w:val="20"/>
          <w:szCs w:val="20"/>
        </w:rPr>
        <w:t xml:space="preserve"> Zhenghao Wang and Ngoc Bich Nguyen are </w:t>
      </w:r>
      <w:r w:rsidR="00C80D7D">
        <w:rPr>
          <w:sz w:val="20"/>
          <w:szCs w:val="20"/>
        </w:rPr>
        <w:t>third</w:t>
      </w:r>
      <w:r w:rsidRPr="0056639C">
        <w:rPr>
          <w:sz w:val="20"/>
          <w:szCs w:val="20"/>
        </w:rPr>
        <w:t xml:space="preserve">-year medical students at Drexel University College of Medicine in West Reading, USA. Zhenghao Wang, a first-generation immigrant and college graduate, is committed to advancing health equity. He earned a Bachelor of Arts in Cell Biology with cum laude honors from Boston University, where he also completed an honors research project—experiences that fuel his passion for medicine and research. Ngoc Bich is also a first-generation immigrant, driven by a strong commitment to patient-centered advocacy, advancing medical research, and addressing health disparities in underserved communities. </w:t>
      </w:r>
    </w:p>
    <w:p w14:paraId="25DAFD5E" w14:textId="77777777" w:rsidR="00A07745" w:rsidRPr="0056639C" w:rsidRDefault="00000000">
      <w:pPr>
        <w:spacing w:line="360" w:lineRule="auto"/>
        <w:rPr>
          <w:sz w:val="20"/>
          <w:szCs w:val="20"/>
        </w:rPr>
      </w:pPr>
      <w:r w:rsidRPr="0056639C">
        <w:rPr>
          <w:sz w:val="20"/>
          <w:szCs w:val="20"/>
        </w:rPr>
        <w:t xml:space="preserve"> </w:t>
      </w:r>
    </w:p>
    <w:p w14:paraId="5D36B984" w14:textId="77777777" w:rsidR="00A07745" w:rsidRPr="0056639C" w:rsidRDefault="00000000">
      <w:pPr>
        <w:spacing w:line="360" w:lineRule="auto"/>
        <w:rPr>
          <w:sz w:val="20"/>
          <w:szCs w:val="20"/>
        </w:rPr>
      </w:pPr>
      <w:r w:rsidRPr="0056639C">
        <w:rPr>
          <w:b/>
          <w:sz w:val="20"/>
          <w:szCs w:val="20"/>
        </w:rPr>
        <w:t>Corresponding Author Email:</w:t>
      </w:r>
      <w:r w:rsidRPr="0056639C">
        <w:rPr>
          <w:sz w:val="20"/>
          <w:szCs w:val="20"/>
        </w:rPr>
        <w:t xml:space="preserve"> </w:t>
      </w:r>
      <w:hyperlink r:id="rId11">
        <w:r w:rsidR="00A07745" w:rsidRPr="0056639C">
          <w:rPr>
            <w:color w:val="1155CC"/>
            <w:sz w:val="20"/>
            <w:szCs w:val="20"/>
            <w:u w:val="single"/>
          </w:rPr>
          <w:t>nn494@drexel.edu</w:t>
        </w:r>
      </w:hyperlink>
      <w:r w:rsidRPr="0056639C">
        <w:rPr>
          <w:sz w:val="20"/>
          <w:szCs w:val="20"/>
        </w:rPr>
        <w:t xml:space="preserve"> ; Ngoc Bich Nguyen. </w:t>
      </w:r>
    </w:p>
    <w:p w14:paraId="1777E9E7" w14:textId="77777777" w:rsidR="00A07745" w:rsidRPr="0056639C" w:rsidRDefault="00A07745">
      <w:pPr>
        <w:spacing w:line="360" w:lineRule="auto"/>
        <w:rPr>
          <w:sz w:val="20"/>
          <w:szCs w:val="20"/>
        </w:rPr>
      </w:pPr>
    </w:p>
    <w:p w14:paraId="6E54FA70" w14:textId="3AED2824" w:rsidR="00A07745" w:rsidRPr="0056639C" w:rsidRDefault="00000000">
      <w:pPr>
        <w:spacing w:line="360" w:lineRule="auto"/>
        <w:rPr>
          <w:sz w:val="20"/>
          <w:szCs w:val="20"/>
        </w:rPr>
      </w:pPr>
      <w:r w:rsidRPr="0056639C">
        <w:rPr>
          <w:b/>
          <w:sz w:val="20"/>
          <w:szCs w:val="20"/>
        </w:rPr>
        <w:t>Acknowledgement</w:t>
      </w:r>
      <w:r w:rsidRPr="0056639C">
        <w:rPr>
          <w:sz w:val="20"/>
          <w:szCs w:val="20"/>
        </w:rPr>
        <w:t>: Drexel University College of Medicine and</w:t>
      </w:r>
      <w:r w:rsidR="00D57301">
        <w:rPr>
          <w:sz w:val="20"/>
          <w:szCs w:val="20"/>
        </w:rPr>
        <w:t xml:space="preserve"> </w:t>
      </w:r>
      <w:r w:rsidRPr="0056639C">
        <w:rPr>
          <w:sz w:val="20"/>
          <w:szCs w:val="20"/>
        </w:rPr>
        <w:t>Tower Health Hospital</w:t>
      </w:r>
    </w:p>
    <w:p w14:paraId="4D188B61" w14:textId="77777777" w:rsidR="00A07745" w:rsidRPr="0056639C" w:rsidRDefault="00A07745">
      <w:pPr>
        <w:spacing w:line="360" w:lineRule="auto"/>
        <w:rPr>
          <w:sz w:val="20"/>
          <w:szCs w:val="20"/>
        </w:rPr>
      </w:pPr>
    </w:p>
    <w:p w14:paraId="41A7E945" w14:textId="77777777" w:rsidR="00A07745" w:rsidRPr="0056639C" w:rsidRDefault="00000000">
      <w:pPr>
        <w:spacing w:line="360" w:lineRule="auto"/>
        <w:rPr>
          <w:sz w:val="20"/>
          <w:szCs w:val="20"/>
        </w:rPr>
      </w:pPr>
      <w:r w:rsidRPr="0056639C">
        <w:rPr>
          <w:b/>
          <w:sz w:val="20"/>
          <w:szCs w:val="20"/>
        </w:rPr>
        <w:t>Conflict of Interest Statement &amp; Funding</w:t>
      </w:r>
      <w:r w:rsidRPr="0056639C">
        <w:rPr>
          <w:sz w:val="20"/>
          <w:szCs w:val="20"/>
        </w:rPr>
        <w:t xml:space="preserve">: The authors have no conflict of interests, funding or financing relationships to declare. </w:t>
      </w:r>
    </w:p>
    <w:p w14:paraId="61ACDE85" w14:textId="77777777" w:rsidR="00A07745" w:rsidRPr="0056639C" w:rsidRDefault="00000000">
      <w:pPr>
        <w:spacing w:line="360" w:lineRule="auto"/>
        <w:rPr>
          <w:sz w:val="20"/>
          <w:szCs w:val="20"/>
        </w:rPr>
      </w:pPr>
      <w:r w:rsidRPr="0056639C">
        <w:rPr>
          <w:sz w:val="20"/>
          <w:szCs w:val="20"/>
        </w:rPr>
        <w:lastRenderedPageBreak/>
        <w:t xml:space="preserve"> </w:t>
      </w:r>
    </w:p>
    <w:p w14:paraId="3FE18815" w14:textId="705FCFC3" w:rsidR="00A07745" w:rsidRPr="0056639C" w:rsidRDefault="00000000">
      <w:pPr>
        <w:spacing w:line="360" w:lineRule="auto"/>
        <w:rPr>
          <w:sz w:val="20"/>
          <w:szCs w:val="20"/>
        </w:rPr>
      </w:pPr>
      <w:r w:rsidRPr="0056639C">
        <w:rPr>
          <w:b/>
          <w:sz w:val="20"/>
          <w:szCs w:val="20"/>
        </w:rPr>
        <w:t>Author's Contribution Statement</w:t>
      </w:r>
      <w:r w:rsidRPr="0056639C">
        <w:rPr>
          <w:sz w:val="20"/>
          <w:szCs w:val="20"/>
        </w:rPr>
        <w:t xml:space="preserve">: Conceptualization: Z.W, N.B.N, E.E. Data Curation: Z.W, N.B.N. Formal Analysis: Z.W, N.B.N. Investigation: Z.W, N.B.N. Methodology: Z.W, N.B.N. Project Administration: Z.W, N.B.N. Supervision: E.E. Validation: E.E. Writing - Original Draft: Z.W, N.B.N. Writing - Review </w:t>
      </w:r>
      <w:r w:rsidR="00D30BAE">
        <w:rPr>
          <w:sz w:val="20"/>
          <w:szCs w:val="20"/>
        </w:rPr>
        <w:t xml:space="preserve">&amp; </w:t>
      </w:r>
      <w:r w:rsidRPr="0056639C">
        <w:rPr>
          <w:sz w:val="20"/>
          <w:szCs w:val="20"/>
        </w:rPr>
        <w:t>Editing: Z.W, N.B.N.</w:t>
      </w:r>
    </w:p>
    <w:p w14:paraId="4A2E5975" w14:textId="77777777" w:rsidR="00A07745" w:rsidRPr="0056639C" w:rsidRDefault="00A07745">
      <w:pPr>
        <w:spacing w:line="360" w:lineRule="auto"/>
        <w:rPr>
          <w:sz w:val="20"/>
          <w:szCs w:val="20"/>
        </w:rPr>
      </w:pPr>
    </w:p>
    <w:p w14:paraId="6F2AB072" w14:textId="1E633B60" w:rsidR="00A07745" w:rsidRPr="0056639C" w:rsidRDefault="00000000">
      <w:pPr>
        <w:spacing w:line="360" w:lineRule="auto"/>
        <w:rPr>
          <w:sz w:val="20"/>
          <w:szCs w:val="20"/>
        </w:rPr>
      </w:pPr>
      <w:r w:rsidRPr="0056639C">
        <w:rPr>
          <w:b/>
          <w:sz w:val="20"/>
          <w:szCs w:val="20"/>
        </w:rPr>
        <w:t>Manuscript word count:</w:t>
      </w:r>
      <w:r w:rsidRPr="0056639C">
        <w:rPr>
          <w:sz w:val="20"/>
          <w:szCs w:val="20"/>
        </w:rPr>
        <w:t xml:space="preserve"> </w:t>
      </w:r>
      <w:r w:rsidR="00B21128">
        <w:rPr>
          <w:sz w:val="20"/>
          <w:szCs w:val="20"/>
        </w:rPr>
        <w:t>5001</w:t>
      </w:r>
      <w:r w:rsidR="008625CD" w:rsidRPr="0056639C">
        <w:rPr>
          <w:sz w:val="20"/>
          <w:szCs w:val="20"/>
        </w:rPr>
        <w:t xml:space="preserve"> </w:t>
      </w:r>
      <w:r w:rsidRPr="0056639C">
        <w:rPr>
          <w:sz w:val="20"/>
          <w:szCs w:val="20"/>
        </w:rPr>
        <w:t xml:space="preserve">words </w:t>
      </w:r>
    </w:p>
    <w:p w14:paraId="53C0088A" w14:textId="724DB093" w:rsidR="00A07745" w:rsidRPr="0056639C" w:rsidRDefault="00000000">
      <w:pPr>
        <w:spacing w:line="360" w:lineRule="auto"/>
        <w:rPr>
          <w:sz w:val="20"/>
          <w:szCs w:val="20"/>
        </w:rPr>
      </w:pPr>
      <w:r w:rsidRPr="0056639C">
        <w:rPr>
          <w:b/>
          <w:sz w:val="20"/>
          <w:szCs w:val="20"/>
        </w:rPr>
        <w:t>Abstract word count:</w:t>
      </w:r>
      <w:r w:rsidRPr="0056639C">
        <w:rPr>
          <w:sz w:val="20"/>
          <w:szCs w:val="20"/>
        </w:rPr>
        <w:t xml:space="preserve"> </w:t>
      </w:r>
      <w:r w:rsidR="00B21128">
        <w:rPr>
          <w:sz w:val="20"/>
          <w:szCs w:val="20"/>
        </w:rPr>
        <w:t>228</w:t>
      </w:r>
      <w:r w:rsidRPr="0056639C">
        <w:rPr>
          <w:sz w:val="20"/>
          <w:szCs w:val="20"/>
        </w:rPr>
        <w:t xml:space="preserve"> words</w:t>
      </w:r>
    </w:p>
    <w:p w14:paraId="09146B08" w14:textId="2AAD3976" w:rsidR="00A07745" w:rsidRPr="0056639C" w:rsidRDefault="00000000">
      <w:pPr>
        <w:spacing w:line="360" w:lineRule="auto"/>
        <w:rPr>
          <w:sz w:val="20"/>
          <w:szCs w:val="20"/>
        </w:rPr>
      </w:pPr>
      <w:r w:rsidRPr="0056639C">
        <w:rPr>
          <w:b/>
          <w:sz w:val="20"/>
          <w:szCs w:val="20"/>
        </w:rPr>
        <w:t>Number of Figures and Tables:</w:t>
      </w:r>
      <w:r w:rsidRPr="0056639C">
        <w:rPr>
          <w:sz w:val="20"/>
          <w:szCs w:val="20"/>
        </w:rPr>
        <w:t xml:space="preserve"> </w:t>
      </w:r>
      <w:r w:rsidR="001E609D">
        <w:rPr>
          <w:sz w:val="20"/>
          <w:szCs w:val="20"/>
        </w:rPr>
        <w:t>3</w:t>
      </w:r>
      <w:r w:rsidRPr="0056639C">
        <w:rPr>
          <w:sz w:val="20"/>
          <w:szCs w:val="20"/>
        </w:rPr>
        <w:t xml:space="preserve"> tables, </w:t>
      </w:r>
      <w:r w:rsidR="00DC5C49" w:rsidRPr="0056639C">
        <w:rPr>
          <w:sz w:val="20"/>
          <w:szCs w:val="20"/>
        </w:rPr>
        <w:t>3</w:t>
      </w:r>
      <w:r w:rsidRPr="0056639C">
        <w:rPr>
          <w:sz w:val="20"/>
          <w:szCs w:val="20"/>
        </w:rPr>
        <w:t xml:space="preserve"> figures</w:t>
      </w:r>
    </w:p>
    <w:p w14:paraId="6F5ABDA9" w14:textId="77777777" w:rsidR="00A07745" w:rsidRPr="0056639C" w:rsidRDefault="00A07745">
      <w:pPr>
        <w:spacing w:line="360" w:lineRule="auto"/>
        <w:rPr>
          <w:sz w:val="20"/>
          <w:szCs w:val="20"/>
        </w:rPr>
      </w:pPr>
    </w:p>
    <w:p w14:paraId="072AFF99" w14:textId="77777777" w:rsidR="00A07745" w:rsidRPr="0056639C" w:rsidRDefault="00000000">
      <w:pPr>
        <w:spacing w:line="360" w:lineRule="auto"/>
        <w:rPr>
          <w:sz w:val="20"/>
          <w:szCs w:val="20"/>
        </w:rPr>
      </w:pPr>
      <w:r w:rsidRPr="0056639C">
        <w:rPr>
          <w:b/>
          <w:sz w:val="20"/>
          <w:szCs w:val="20"/>
        </w:rPr>
        <w:t>Personal, Professional, and Institutional Social Network accounts</w:t>
      </w:r>
      <w:r w:rsidRPr="0056639C">
        <w:rPr>
          <w:sz w:val="20"/>
          <w:szCs w:val="20"/>
        </w:rPr>
        <w:t>:</w:t>
      </w:r>
    </w:p>
    <w:p w14:paraId="179C4629" w14:textId="52821B77" w:rsidR="00A07745" w:rsidRPr="0056639C" w:rsidRDefault="00000000">
      <w:pPr>
        <w:spacing w:line="360" w:lineRule="auto"/>
        <w:rPr>
          <w:sz w:val="20"/>
          <w:szCs w:val="20"/>
        </w:rPr>
      </w:pPr>
      <w:r w:rsidRPr="0056639C">
        <w:rPr>
          <w:sz w:val="20"/>
          <w:szCs w:val="20"/>
        </w:rPr>
        <w:t>•</w:t>
      </w:r>
      <w:r w:rsidRPr="0056639C">
        <w:rPr>
          <w:sz w:val="20"/>
          <w:szCs w:val="20"/>
        </w:rPr>
        <w:tab/>
        <w:t>Linked</w:t>
      </w:r>
      <w:r w:rsidR="00D30BAE">
        <w:rPr>
          <w:sz w:val="20"/>
          <w:szCs w:val="20"/>
        </w:rPr>
        <w:t>I</w:t>
      </w:r>
      <w:r w:rsidRPr="0056639C">
        <w:rPr>
          <w:sz w:val="20"/>
          <w:szCs w:val="20"/>
        </w:rPr>
        <w:t xml:space="preserve">n: </w:t>
      </w:r>
      <w:hyperlink r:id="rId12">
        <w:r w:rsidR="00A07745" w:rsidRPr="0056639C">
          <w:rPr>
            <w:color w:val="1155CC"/>
            <w:sz w:val="20"/>
            <w:szCs w:val="20"/>
            <w:highlight w:val="white"/>
            <w:u w:val="single"/>
          </w:rPr>
          <w:t>www.linkedin.com/in/zhenghao-wang</w:t>
        </w:r>
      </w:hyperlink>
      <w:r w:rsidRPr="0056639C">
        <w:rPr>
          <w:sz w:val="20"/>
          <w:szCs w:val="20"/>
          <w:highlight w:val="white"/>
        </w:rPr>
        <w:t xml:space="preserve"> </w:t>
      </w:r>
    </w:p>
    <w:p w14:paraId="613C4180" w14:textId="64647587" w:rsidR="00A07745" w:rsidRPr="0056639C" w:rsidRDefault="00000000">
      <w:pPr>
        <w:spacing w:line="360" w:lineRule="auto"/>
        <w:rPr>
          <w:sz w:val="20"/>
          <w:szCs w:val="20"/>
        </w:rPr>
      </w:pPr>
      <w:r w:rsidRPr="0056639C">
        <w:rPr>
          <w:sz w:val="20"/>
          <w:szCs w:val="20"/>
        </w:rPr>
        <w:t>•</w:t>
      </w:r>
      <w:r w:rsidRPr="0056639C">
        <w:rPr>
          <w:sz w:val="20"/>
          <w:szCs w:val="20"/>
        </w:rPr>
        <w:tab/>
        <w:t>Linked</w:t>
      </w:r>
      <w:r w:rsidR="00D30BAE">
        <w:rPr>
          <w:sz w:val="20"/>
          <w:szCs w:val="20"/>
        </w:rPr>
        <w:t>I</w:t>
      </w:r>
      <w:r w:rsidRPr="0056639C">
        <w:rPr>
          <w:sz w:val="20"/>
          <w:szCs w:val="20"/>
        </w:rPr>
        <w:t xml:space="preserve">n: </w:t>
      </w:r>
      <w:hyperlink r:id="rId13">
        <w:r w:rsidR="00A07745" w:rsidRPr="0056639C">
          <w:rPr>
            <w:color w:val="1155CC"/>
            <w:sz w:val="20"/>
            <w:szCs w:val="20"/>
            <w:u w:val="single"/>
          </w:rPr>
          <w:t>https://www.linkedin.com/in/sophie-nb-nguyen/</w:t>
        </w:r>
      </w:hyperlink>
      <w:r w:rsidRPr="0056639C">
        <w:rPr>
          <w:sz w:val="20"/>
          <w:szCs w:val="20"/>
        </w:rPr>
        <w:t xml:space="preserve"> </w:t>
      </w:r>
    </w:p>
    <w:p w14:paraId="5FA9A497" w14:textId="77777777" w:rsidR="00A07745" w:rsidRPr="0056639C" w:rsidRDefault="00A07745">
      <w:pPr>
        <w:spacing w:line="360" w:lineRule="auto"/>
        <w:rPr>
          <w:sz w:val="20"/>
          <w:szCs w:val="20"/>
        </w:rPr>
      </w:pPr>
    </w:p>
    <w:p w14:paraId="0A1C0D93" w14:textId="77777777" w:rsidR="00A07745" w:rsidRPr="0056639C" w:rsidRDefault="00000000">
      <w:pPr>
        <w:spacing w:line="360" w:lineRule="auto"/>
        <w:rPr>
          <w:sz w:val="20"/>
          <w:szCs w:val="20"/>
        </w:rPr>
      </w:pPr>
      <w:r w:rsidRPr="0056639C">
        <w:rPr>
          <w:b/>
          <w:sz w:val="20"/>
          <w:szCs w:val="20"/>
        </w:rPr>
        <w:t>ABSTRACT</w:t>
      </w:r>
    </w:p>
    <w:p w14:paraId="71417646" w14:textId="77777777" w:rsidR="00A07745" w:rsidRPr="0056639C" w:rsidRDefault="00A07745">
      <w:pPr>
        <w:spacing w:line="360" w:lineRule="auto"/>
        <w:rPr>
          <w:sz w:val="20"/>
          <w:szCs w:val="20"/>
        </w:rPr>
      </w:pPr>
    </w:p>
    <w:p w14:paraId="77634C45" w14:textId="77777777" w:rsidR="00A07745" w:rsidRPr="0056639C" w:rsidRDefault="00000000">
      <w:pPr>
        <w:spacing w:line="360" w:lineRule="auto"/>
        <w:rPr>
          <w:sz w:val="20"/>
          <w:szCs w:val="20"/>
        </w:rPr>
      </w:pPr>
      <w:r w:rsidRPr="0056639C">
        <w:rPr>
          <w:b/>
          <w:sz w:val="20"/>
          <w:szCs w:val="20"/>
        </w:rPr>
        <w:t>Background</w:t>
      </w:r>
      <w:r w:rsidRPr="0056639C">
        <w:rPr>
          <w:sz w:val="20"/>
          <w:szCs w:val="20"/>
        </w:rPr>
        <w:t>: Despite advancements in anesthetic techniques, specific patient populations remain vulnerable to intraoperative awareness. Diabetes mellitus (DM), increasingly prevalent and often accompanied by significant comorbidities, may complicate anesthetic management and mask signs of inadequate anesthetic depth. This study investigates whether DM is independently associated with an increased risk of unintended intraoperative awareness.</w:t>
      </w:r>
    </w:p>
    <w:p w14:paraId="3771E209" w14:textId="7CFD98F3" w:rsidR="00A07745" w:rsidRPr="0056639C" w:rsidRDefault="00000000">
      <w:pPr>
        <w:spacing w:line="360" w:lineRule="auto"/>
        <w:rPr>
          <w:sz w:val="20"/>
          <w:szCs w:val="20"/>
        </w:rPr>
      </w:pPr>
      <w:r w:rsidRPr="0056639C">
        <w:rPr>
          <w:b/>
          <w:sz w:val="20"/>
          <w:szCs w:val="20"/>
        </w:rPr>
        <w:t>Methods</w:t>
      </w:r>
      <w:r w:rsidRPr="0056639C">
        <w:rPr>
          <w:sz w:val="20"/>
          <w:szCs w:val="20"/>
        </w:rPr>
        <w:t xml:space="preserve">: A retrospective cohort analysis was conducted using the </w:t>
      </w:r>
      <w:proofErr w:type="spellStart"/>
      <w:r w:rsidRPr="0056639C">
        <w:rPr>
          <w:sz w:val="20"/>
          <w:szCs w:val="20"/>
        </w:rPr>
        <w:t>TriNetX</w:t>
      </w:r>
      <w:proofErr w:type="spellEnd"/>
      <w:r w:rsidRPr="0056639C">
        <w:rPr>
          <w:sz w:val="20"/>
          <w:szCs w:val="20"/>
        </w:rPr>
        <w:t xml:space="preserve"> research platform, a federated health database. Two cohorts were identified: patients with DM and a control group without DM undergoing surgery under general anesthesia. Propensity-score matching (1:1) was used </w:t>
      </w:r>
      <w:r w:rsidR="00C80D7D">
        <w:rPr>
          <w:sz w:val="20"/>
          <w:szCs w:val="20"/>
        </w:rPr>
        <w:t>for demographics, comorbidity categories, procedure categories, and medication classes, with patients having cognitive impairment, COPD, substance used disorder, cardiovascular disease or non-GA anesthetic technique excluded.</w:t>
      </w:r>
      <w:r w:rsidRPr="0056639C">
        <w:rPr>
          <w:sz w:val="20"/>
          <w:szCs w:val="20"/>
        </w:rPr>
        <w:t xml:space="preserve"> The incidence of intraoperative awareness was compared between groups.</w:t>
      </w:r>
    </w:p>
    <w:p w14:paraId="26F94D8F" w14:textId="07F3040A" w:rsidR="00A07745" w:rsidRPr="0056639C" w:rsidRDefault="00000000">
      <w:pPr>
        <w:spacing w:line="360" w:lineRule="auto"/>
        <w:rPr>
          <w:sz w:val="20"/>
          <w:szCs w:val="20"/>
        </w:rPr>
      </w:pPr>
      <w:r w:rsidRPr="0056639C">
        <w:rPr>
          <w:b/>
          <w:sz w:val="20"/>
          <w:szCs w:val="20"/>
        </w:rPr>
        <w:t>Results</w:t>
      </w:r>
      <w:r w:rsidRPr="0056639C">
        <w:rPr>
          <w:sz w:val="20"/>
          <w:szCs w:val="20"/>
        </w:rPr>
        <w:t>: After matching, 1</w:t>
      </w:r>
      <w:r w:rsidR="00014797" w:rsidRPr="0056639C">
        <w:rPr>
          <w:sz w:val="20"/>
          <w:szCs w:val="20"/>
        </w:rPr>
        <w:t>89,787</w:t>
      </w:r>
      <w:r w:rsidRPr="0056639C">
        <w:rPr>
          <w:sz w:val="20"/>
          <w:szCs w:val="20"/>
        </w:rPr>
        <w:t xml:space="preserve"> patients were included in each cohort (total n=3</w:t>
      </w:r>
      <w:r w:rsidR="00014797" w:rsidRPr="0056639C">
        <w:rPr>
          <w:sz w:val="20"/>
          <w:szCs w:val="20"/>
        </w:rPr>
        <w:t>79,574</w:t>
      </w:r>
      <w:r w:rsidRPr="0056639C">
        <w:rPr>
          <w:sz w:val="20"/>
          <w:szCs w:val="20"/>
        </w:rPr>
        <w:t>). The incidence of intraoperative awareness was significantly higher in the DM group (0.027%, n=52) compared to the non-DM group (0.01</w:t>
      </w:r>
      <w:r w:rsidR="00014797" w:rsidRPr="0056639C">
        <w:rPr>
          <w:sz w:val="20"/>
          <w:szCs w:val="20"/>
        </w:rPr>
        <w:t>7</w:t>
      </w:r>
      <w:r w:rsidRPr="0056639C">
        <w:rPr>
          <w:sz w:val="20"/>
          <w:szCs w:val="20"/>
        </w:rPr>
        <w:t>%, n=</w:t>
      </w:r>
      <w:r w:rsidR="00014797" w:rsidRPr="0056639C">
        <w:rPr>
          <w:sz w:val="20"/>
          <w:szCs w:val="20"/>
        </w:rPr>
        <w:t>32</w:t>
      </w:r>
      <w:r w:rsidRPr="0056639C">
        <w:rPr>
          <w:sz w:val="20"/>
          <w:szCs w:val="20"/>
        </w:rPr>
        <w:t>). DM was associated with a statistically significant increased risk (absolute risk difference: 0.01</w:t>
      </w:r>
      <w:r w:rsidR="00014797" w:rsidRPr="0056639C">
        <w:rPr>
          <w:sz w:val="20"/>
          <w:szCs w:val="20"/>
        </w:rPr>
        <w:t>1</w:t>
      </w:r>
      <w:r w:rsidRPr="0056639C">
        <w:rPr>
          <w:sz w:val="20"/>
          <w:szCs w:val="20"/>
        </w:rPr>
        <w:t>%, 95% CI: 0.00</w:t>
      </w:r>
      <w:r w:rsidR="00014797" w:rsidRPr="0056639C">
        <w:rPr>
          <w:sz w:val="20"/>
          <w:szCs w:val="20"/>
        </w:rPr>
        <w:t>1</w:t>
      </w:r>
      <w:r w:rsidRPr="0056639C">
        <w:rPr>
          <w:sz w:val="20"/>
          <w:szCs w:val="20"/>
        </w:rPr>
        <w:t>–0.02%, p=0.0</w:t>
      </w:r>
      <w:r w:rsidR="00014797" w:rsidRPr="0056639C">
        <w:rPr>
          <w:sz w:val="20"/>
          <w:szCs w:val="20"/>
        </w:rPr>
        <w:t>291</w:t>
      </w:r>
      <w:r w:rsidRPr="0056639C">
        <w:rPr>
          <w:sz w:val="20"/>
          <w:szCs w:val="20"/>
        </w:rPr>
        <w:t>). Diabetic patients had nearly twice the risk of intraoperative awareness (RR=1.</w:t>
      </w:r>
      <w:r w:rsidR="00014797" w:rsidRPr="0056639C">
        <w:rPr>
          <w:sz w:val="20"/>
          <w:szCs w:val="20"/>
        </w:rPr>
        <w:t>625</w:t>
      </w:r>
      <w:r w:rsidRPr="0056639C">
        <w:rPr>
          <w:sz w:val="20"/>
          <w:szCs w:val="20"/>
        </w:rPr>
        <w:t>, 95% CI: 1.</w:t>
      </w:r>
      <w:r w:rsidR="00014797" w:rsidRPr="0056639C">
        <w:rPr>
          <w:sz w:val="20"/>
          <w:szCs w:val="20"/>
        </w:rPr>
        <w:t>046</w:t>
      </w:r>
      <w:r w:rsidRPr="0056639C">
        <w:rPr>
          <w:sz w:val="20"/>
          <w:szCs w:val="20"/>
        </w:rPr>
        <w:t>–2.</w:t>
      </w:r>
      <w:r w:rsidR="00014797" w:rsidRPr="0056639C">
        <w:rPr>
          <w:sz w:val="20"/>
          <w:szCs w:val="20"/>
        </w:rPr>
        <w:t>524</w:t>
      </w:r>
      <w:r w:rsidRPr="0056639C">
        <w:rPr>
          <w:sz w:val="20"/>
          <w:szCs w:val="20"/>
        </w:rPr>
        <w:t>; OR=1.</w:t>
      </w:r>
      <w:r w:rsidR="00014797" w:rsidRPr="0056639C">
        <w:rPr>
          <w:sz w:val="20"/>
          <w:szCs w:val="20"/>
        </w:rPr>
        <w:t>625</w:t>
      </w:r>
      <w:r w:rsidRPr="0056639C">
        <w:rPr>
          <w:sz w:val="20"/>
          <w:szCs w:val="20"/>
        </w:rPr>
        <w:t>, 95% CI: 1.</w:t>
      </w:r>
      <w:r w:rsidR="00014797" w:rsidRPr="0056639C">
        <w:rPr>
          <w:sz w:val="20"/>
          <w:szCs w:val="20"/>
        </w:rPr>
        <w:t>046</w:t>
      </w:r>
      <w:r w:rsidRPr="0056639C">
        <w:rPr>
          <w:sz w:val="20"/>
          <w:szCs w:val="20"/>
        </w:rPr>
        <w:t>–2.</w:t>
      </w:r>
      <w:r w:rsidR="00014797" w:rsidRPr="0056639C">
        <w:rPr>
          <w:sz w:val="20"/>
          <w:szCs w:val="20"/>
        </w:rPr>
        <w:t>524</w:t>
      </w:r>
      <w:r w:rsidRPr="0056639C">
        <w:rPr>
          <w:sz w:val="20"/>
          <w:szCs w:val="20"/>
        </w:rPr>
        <w:t>).</w:t>
      </w:r>
    </w:p>
    <w:p w14:paraId="45213C11" w14:textId="77777777" w:rsidR="00A07745" w:rsidRPr="0056639C" w:rsidRDefault="00000000">
      <w:pPr>
        <w:spacing w:line="360" w:lineRule="auto"/>
        <w:rPr>
          <w:sz w:val="20"/>
          <w:szCs w:val="20"/>
        </w:rPr>
      </w:pPr>
      <w:r w:rsidRPr="0056639C">
        <w:rPr>
          <w:b/>
          <w:sz w:val="20"/>
          <w:szCs w:val="20"/>
        </w:rPr>
        <w:t>Conclusion</w:t>
      </w:r>
      <w:r w:rsidRPr="0056639C">
        <w:rPr>
          <w:sz w:val="20"/>
          <w:szCs w:val="20"/>
        </w:rPr>
        <w:t>: DM significantly increases the risk of intraoperative awareness during general anesthesia. These findings underscore the importance of heightened anesthetic vigilance and personalized monitoring strategies in diabetic patients to mitigate this risk.</w:t>
      </w:r>
    </w:p>
    <w:p w14:paraId="270A3F34" w14:textId="77777777" w:rsidR="00A07745" w:rsidRPr="0056639C" w:rsidRDefault="00A07745">
      <w:pPr>
        <w:spacing w:line="360" w:lineRule="auto"/>
        <w:rPr>
          <w:sz w:val="20"/>
          <w:szCs w:val="20"/>
        </w:rPr>
      </w:pPr>
    </w:p>
    <w:p w14:paraId="4F277E5D" w14:textId="77777777" w:rsidR="00A07745" w:rsidRPr="0056639C" w:rsidRDefault="00000000">
      <w:pPr>
        <w:spacing w:line="360" w:lineRule="auto"/>
        <w:rPr>
          <w:sz w:val="20"/>
          <w:szCs w:val="20"/>
        </w:rPr>
      </w:pPr>
      <w:r w:rsidRPr="0056639C">
        <w:rPr>
          <w:b/>
          <w:sz w:val="20"/>
          <w:szCs w:val="20"/>
        </w:rPr>
        <w:lastRenderedPageBreak/>
        <w:t>Key Words</w:t>
      </w:r>
      <w:r w:rsidRPr="0056639C">
        <w:rPr>
          <w:sz w:val="20"/>
          <w:szCs w:val="20"/>
        </w:rPr>
        <w:t xml:space="preserve">: Intraoperative awareness, diabetes mellitus, general anesthesia, pharmacokinetics, surgery. </w:t>
      </w:r>
    </w:p>
    <w:p w14:paraId="392792C6" w14:textId="77777777" w:rsidR="00A07745" w:rsidRPr="0056639C" w:rsidRDefault="00000000">
      <w:pPr>
        <w:spacing w:line="360" w:lineRule="auto"/>
        <w:rPr>
          <w:b/>
          <w:sz w:val="20"/>
          <w:szCs w:val="20"/>
        </w:rPr>
      </w:pPr>
      <w:r w:rsidRPr="0056639C">
        <w:rPr>
          <w:sz w:val="20"/>
          <w:szCs w:val="20"/>
        </w:rPr>
        <w:t xml:space="preserve"> </w:t>
      </w:r>
    </w:p>
    <w:p w14:paraId="3E36795E" w14:textId="77777777" w:rsidR="00A07745" w:rsidRPr="0056639C" w:rsidRDefault="00000000">
      <w:pPr>
        <w:spacing w:line="360" w:lineRule="auto"/>
        <w:rPr>
          <w:sz w:val="20"/>
          <w:szCs w:val="20"/>
        </w:rPr>
      </w:pPr>
      <w:r w:rsidRPr="0056639C">
        <w:rPr>
          <w:b/>
          <w:sz w:val="20"/>
          <w:szCs w:val="20"/>
        </w:rPr>
        <w:t>INTRODUCTION</w:t>
      </w:r>
    </w:p>
    <w:p w14:paraId="4ADAD0E8" w14:textId="77777777" w:rsidR="00A07745" w:rsidRPr="0056639C" w:rsidRDefault="00A07745">
      <w:pPr>
        <w:spacing w:line="360" w:lineRule="auto"/>
        <w:rPr>
          <w:sz w:val="20"/>
          <w:szCs w:val="20"/>
        </w:rPr>
      </w:pPr>
    </w:p>
    <w:p w14:paraId="478D323E" w14:textId="77777777" w:rsidR="00A07745" w:rsidRPr="0056639C" w:rsidRDefault="00000000">
      <w:pPr>
        <w:spacing w:line="360" w:lineRule="auto"/>
        <w:rPr>
          <w:sz w:val="20"/>
          <w:szCs w:val="20"/>
        </w:rPr>
      </w:pPr>
      <w:r w:rsidRPr="0056639C">
        <w:rPr>
          <w:sz w:val="20"/>
          <w:szCs w:val="20"/>
        </w:rPr>
        <w:t>Each year, more than 40 million patients in North America undergo anesthesia for surgical procedures.</w:t>
      </w:r>
      <w:r w:rsidRPr="0056639C">
        <w:rPr>
          <w:sz w:val="20"/>
          <w:szCs w:val="20"/>
          <w:vertAlign w:val="superscript"/>
        </w:rPr>
        <w:t>1</w:t>
      </w:r>
      <w:r w:rsidRPr="0056639C">
        <w:rPr>
          <w:sz w:val="20"/>
          <w:szCs w:val="20"/>
        </w:rPr>
        <w:t xml:space="preserve"> While the safety of anesthetic practice has improved substantially over recent decades, many of the molecular and physiological mechanisms underlying anesthetic action remain incompletely understood. This persistent knowledge gap limits the refinement of existing anesthetic agents and impedes the development of safer, more targeted alternatives. As with all pharmacologic therapies, anesthetics carry inherent limitations, contraindications, and potential adverse effects.</w:t>
      </w:r>
    </w:p>
    <w:p w14:paraId="0ECD45D3" w14:textId="77777777" w:rsidR="00A07745" w:rsidRPr="0056639C" w:rsidRDefault="00A07745">
      <w:pPr>
        <w:spacing w:line="360" w:lineRule="auto"/>
        <w:rPr>
          <w:sz w:val="20"/>
          <w:szCs w:val="20"/>
        </w:rPr>
      </w:pPr>
    </w:p>
    <w:p w14:paraId="73FC6633" w14:textId="232BBC15" w:rsidR="00A07745" w:rsidRPr="0056639C" w:rsidRDefault="00000000">
      <w:pPr>
        <w:spacing w:line="360" w:lineRule="auto"/>
        <w:rPr>
          <w:sz w:val="20"/>
          <w:szCs w:val="20"/>
        </w:rPr>
      </w:pPr>
      <w:r w:rsidRPr="0056639C">
        <w:rPr>
          <w:sz w:val="20"/>
          <w:szCs w:val="20"/>
        </w:rPr>
        <w:t>Intraoperative awareness—defined as the unintended recall of events during general anesthesia—is one of the most psychologically distressing and clinically significant complications of anesthetic care.</w:t>
      </w:r>
      <w:r w:rsidRPr="0056639C">
        <w:rPr>
          <w:sz w:val="20"/>
          <w:szCs w:val="20"/>
          <w:vertAlign w:val="superscript"/>
        </w:rPr>
        <w:t>2</w:t>
      </w:r>
      <w:r w:rsidRPr="0056639C">
        <w:rPr>
          <w:sz w:val="20"/>
          <w:szCs w:val="20"/>
        </w:rPr>
        <w:t xml:space="preserve"> Although rare, its consequences can be profound, often including post-traumatic stress disorder, persistent anxiety, and long-term mistrust of medical systems.</w:t>
      </w:r>
      <w:r w:rsidRPr="0056639C">
        <w:rPr>
          <w:sz w:val="20"/>
          <w:szCs w:val="20"/>
          <w:vertAlign w:val="superscript"/>
        </w:rPr>
        <w:t>2</w:t>
      </w:r>
      <w:r w:rsidRPr="0056639C">
        <w:rPr>
          <w:sz w:val="20"/>
          <w:szCs w:val="20"/>
        </w:rPr>
        <w:t xml:space="preserve"> The reported incidence of intraoperative awareness varies widely, ranging from 0.006% to 1%, depending on the methodology used. For instance, patient-reported data suggest</w:t>
      </w:r>
      <w:r w:rsidR="004F0E46" w:rsidRPr="0056639C">
        <w:rPr>
          <w:sz w:val="20"/>
          <w:szCs w:val="20"/>
        </w:rPr>
        <w:t>s</w:t>
      </w:r>
      <w:r w:rsidRPr="0056639C">
        <w:rPr>
          <w:sz w:val="20"/>
          <w:szCs w:val="20"/>
        </w:rPr>
        <w:t xml:space="preserve"> an incidence of 1–2 per 1,000 anesthetics, while anesthesiologist-reported estimates are as low as 1 in 15,000.</w:t>
      </w:r>
      <w:r w:rsidRPr="0056639C">
        <w:rPr>
          <w:sz w:val="20"/>
          <w:szCs w:val="20"/>
          <w:vertAlign w:val="superscript"/>
        </w:rPr>
        <w:t>3</w:t>
      </w:r>
      <w:r w:rsidRPr="0056639C">
        <w:rPr>
          <w:sz w:val="20"/>
          <w:szCs w:val="20"/>
        </w:rPr>
        <w:t xml:space="preserve"> This discrepancy may reflect under recognition by providers, as many patients report awareness days or weeks after surgery—often only during preoperative assessments for future procedures.</w:t>
      </w:r>
      <w:r w:rsidRPr="0056639C">
        <w:rPr>
          <w:sz w:val="20"/>
          <w:szCs w:val="20"/>
          <w:vertAlign w:val="superscript"/>
        </w:rPr>
        <w:t>3</w:t>
      </w:r>
      <w:r w:rsidRPr="0056639C">
        <w:rPr>
          <w:sz w:val="20"/>
          <w:szCs w:val="20"/>
        </w:rPr>
        <w:t xml:space="preserve"> These findings underscore the inadequacy of current detection methods and highlight the need for systematic postoperative evaluations.</w:t>
      </w:r>
    </w:p>
    <w:p w14:paraId="34E9955C" w14:textId="77777777" w:rsidR="00A07745" w:rsidRPr="0056639C" w:rsidRDefault="00A07745">
      <w:pPr>
        <w:spacing w:line="360" w:lineRule="auto"/>
        <w:rPr>
          <w:sz w:val="20"/>
          <w:szCs w:val="20"/>
        </w:rPr>
      </w:pPr>
    </w:p>
    <w:p w14:paraId="0013B461" w14:textId="27E1AB79" w:rsidR="00A07745" w:rsidRPr="0056639C" w:rsidRDefault="00000000">
      <w:pPr>
        <w:spacing w:line="360" w:lineRule="auto"/>
        <w:rPr>
          <w:sz w:val="20"/>
          <w:szCs w:val="20"/>
          <w:vertAlign w:val="superscript"/>
        </w:rPr>
      </w:pPr>
      <w:r w:rsidRPr="0056639C">
        <w:rPr>
          <w:sz w:val="20"/>
          <w:szCs w:val="20"/>
        </w:rPr>
        <w:t>Numerous risk factors for intraoperative awareness have been identified. Pediatric patients exhibit significantly higher risk—up to 8 to 10 times that of adults—likely due to rapid redistribution of anesthetics and reduced effective plasma concentrations.</w:t>
      </w:r>
      <w:r w:rsidRPr="0056639C">
        <w:rPr>
          <w:sz w:val="20"/>
          <w:szCs w:val="20"/>
          <w:vertAlign w:val="superscript"/>
        </w:rPr>
        <w:t>4,5</w:t>
      </w:r>
      <w:r w:rsidRPr="0056639C">
        <w:rPr>
          <w:sz w:val="20"/>
          <w:szCs w:val="20"/>
        </w:rPr>
        <w:t xml:space="preserve"> Other recognized patient-related risk factors include high American Society of Anesthesiologists physical status (III or above), chronic alcohol or opioid use, and the need to limit anesthetic depth in settings of cardiovascular instability or severe obesity.</w:t>
      </w:r>
      <w:r w:rsidRPr="0056639C">
        <w:rPr>
          <w:sz w:val="20"/>
          <w:szCs w:val="20"/>
          <w:vertAlign w:val="superscript"/>
        </w:rPr>
        <w:t>1,6-8</w:t>
      </w:r>
      <w:r w:rsidRPr="0056639C">
        <w:rPr>
          <w:sz w:val="20"/>
          <w:szCs w:val="20"/>
        </w:rPr>
        <w:t xml:space="preserve"> The use of neuromuscular blockers further elevates risk by masking motor responses that typically serve as warning signs of inadequate anesthesia.</w:t>
      </w:r>
      <w:r w:rsidRPr="0056639C">
        <w:rPr>
          <w:sz w:val="20"/>
          <w:szCs w:val="20"/>
          <w:vertAlign w:val="superscript"/>
        </w:rPr>
        <w:t>9</w:t>
      </w:r>
      <w:r w:rsidRPr="0056639C">
        <w:rPr>
          <w:sz w:val="20"/>
          <w:szCs w:val="20"/>
        </w:rPr>
        <w:t xml:space="preserve"> Conversely, benzodiazepines offer a protective effect by promoting amnesia.</w:t>
      </w:r>
      <w:r w:rsidRPr="0056639C">
        <w:rPr>
          <w:sz w:val="20"/>
          <w:szCs w:val="20"/>
          <w:vertAlign w:val="superscript"/>
        </w:rPr>
        <w:t>10</w:t>
      </w:r>
      <w:r w:rsidRPr="0056639C">
        <w:rPr>
          <w:sz w:val="20"/>
          <w:szCs w:val="20"/>
        </w:rPr>
        <w:t xml:space="preserve"> Notably, obesity has emerged as a relevant concern not only for its pharmacokinetic complexity but also because it is highly prevalent among high-risk populations—over 90% of individuals with type 2 diabetes are overweight or obese—suggesting a potential link between diabetes and anesthesia-related complications.</w:t>
      </w:r>
      <w:r w:rsidRPr="0056639C">
        <w:rPr>
          <w:sz w:val="20"/>
          <w:szCs w:val="20"/>
          <w:vertAlign w:val="superscript"/>
        </w:rPr>
        <w:t>11</w:t>
      </w:r>
    </w:p>
    <w:p w14:paraId="0EFBAB6F" w14:textId="77777777" w:rsidR="00A07745" w:rsidRPr="0056639C" w:rsidRDefault="00A07745">
      <w:pPr>
        <w:spacing w:line="360" w:lineRule="auto"/>
        <w:rPr>
          <w:sz w:val="20"/>
          <w:szCs w:val="20"/>
        </w:rPr>
      </w:pPr>
    </w:p>
    <w:p w14:paraId="67EC6BA8" w14:textId="10EEAF47" w:rsidR="00A07745" w:rsidRPr="0056639C" w:rsidRDefault="00000000">
      <w:pPr>
        <w:spacing w:line="360" w:lineRule="auto"/>
        <w:rPr>
          <w:sz w:val="20"/>
          <w:szCs w:val="20"/>
        </w:rPr>
      </w:pPr>
      <w:r w:rsidRPr="0056639C">
        <w:rPr>
          <w:sz w:val="20"/>
          <w:szCs w:val="20"/>
        </w:rPr>
        <w:t>Diabetes mellitus (DM), which affects approximately 13% of</w:t>
      </w:r>
      <w:r w:rsidR="000922FE" w:rsidRPr="0056639C">
        <w:rPr>
          <w:sz w:val="20"/>
          <w:szCs w:val="20"/>
        </w:rPr>
        <w:t xml:space="preserve"> a</w:t>
      </w:r>
      <w:r w:rsidRPr="0056639C">
        <w:rPr>
          <w:sz w:val="20"/>
          <w:szCs w:val="20"/>
        </w:rPr>
        <w:t>dults in the United States (U.S), is a prevalent and clinically multifaceted comorbidity among surgical patients.</w:t>
      </w:r>
      <w:r w:rsidRPr="0056639C">
        <w:rPr>
          <w:sz w:val="20"/>
          <w:szCs w:val="20"/>
          <w:vertAlign w:val="superscript"/>
        </w:rPr>
        <w:t>12</w:t>
      </w:r>
      <w:r w:rsidRPr="0056639C">
        <w:rPr>
          <w:sz w:val="20"/>
          <w:szCs w:val="20"/>
        </w:rPr>
        <w:t xml:space="preserve"> Beyond its association with obesity, DM often coexists with cardiovascular disease, hypertension, dyslipidemia, and chronic kidney </w:t>
      </w:r>
      <w:r w:rsidRPr="0056639C">
        <w:rPr>
          <w:sz w:val="20"/>
          <w:szCs w:val="20"/>
        </w:rPr>
        <w:lastRenderedPageBreak/>
        <w:t>disease—each of which complicates anesthetic management.</w:t>
      </w:r>
      <w:r w:rsidRPr="0056639C">
        <w:rPr>
          <w:sz w:val="20"/>
          <w:szCs w:val="20"/>
          <w:vertAlign w:val="superscript"/>
        </w:rPr>
        <w:t>11</w:t>
      </w:r>
      <w:r w:rsidRPr="0056639C">
        <w:rPr>
          <w:sz w:val="20"/>
          <w:szCs w:val="20"/>
        </w:rPr>
        <w:t xml:space="preserve"> Moreover, DM-related autonomic neuropathy may blunt sympathetic responses to inadequate anesthesia, masking key physiological indicators such as changes in heart rate or blood pressure.</w:t>
      </w:r>
      <w:r w:rsidRPr="0056639C">
        <w:rPr>
          <w:sz w:val="20"/>
          <w:szCs w:val="20"/>
          <w:vertAlign w:val="superscript"/>
        </w:rPr>
        <w:t>11,13</w:t>
      </w:r>
      <w:r w:rsidRPr="0056639C">
        <w:rPr>
          <w:sz w:val="20"/>
          <w:szCs w:val="20"/>
        </w:rPr>
        <w:t xml:space="preserve"> In parallel, diabetic gastroparesis may delay gastric emptying, affecting the timing and absorption of anesthetic agents, while obstructive sleep apnea and reduced ventilatory reserve further challenge intraoperative monitoring.</w:t>
      </w:r>
      <w:r w:rsidRPr="0056639C">
        <w:rPr>
          <w:sz w:val="20"/>
          <w:szCs w:val="20"/>
          <w:vertAlign w:val="superscript"/>
        </w:rPr>
        <w:t>11</w:t>
      </w:r>
      <w:r w:rsidRPr="0056639C">
        <w:rPr>
          <w:sz w:val="20"/>
          <w:szCs w:val="20"/>
        </w:rPr>
        <w:t xml:space="preserve"> Together, these factors may obscure conventional markers of anesthetic depth and compromise the anesthesiologist’s ability to detect and prevent intraoperative awareness.</w:t>
      </w:r>
    </w:p>
    <w:p w14:paraId="73EB0B93" w14:textId="77777777" w:rsidR="00A07745" w:rsidRPr="0056639C" w:rsidRDefault="00A07745">
      <w:pPr>
        <w:spacing w:line="360" w:lineRule="auto"/>
        <w:rPr>
          <w:sz w:val="20"/>
          <w:szCs w:val="20"/>
        </w:rPr>
      </w:pPr>
    </w:p>
    <w:p w14:paraId="670C9FD2" w14:textId="0CBB7134" w:rsidR="000922FE" w:rsidRPr="0056639C" w:rsidRDefault="000922FE">
      <w:pPr>
        <w:spacing w:line="360" w:lineRule="auto"/>
        <w:rPr>
          <w:sz w:val="20"/>
          <w:szCs w:val="20"/>
        </w:rPr>
      </w:pPr>
      <w:r w:rsidRPr="0056639C">
        <w:rPr>
          <w:sz w:val="20"/>
          <w:szCs w:val="20"/>
        </w:rPr>
        <w:t xml:space="preserve">Despite the theoretical and mechanistic rationale suggesting a potential link, the relationship between DM and intraoperative awareness remains poorly characterized in the existing literature. To address this gap, we conducted a retrospective cohort study to examine the association between DM and the incidence of intraoperative awareness during general anesthesia. Data were obtained from the </w:t>
      </w:r>
      <w:proofErr w:type="spellStart"/>
      <w:r w:rsidRPr="0056639C">
        <w:rPr>
          <w:sz w:val="20"/>
          <w:szCs w:val="20"/>
        </w:rPr>
        <w:t>TriNetX</w:t>
      </w:r>
      <w:proofErr w:type="spellEnd"/>
      <w:r w:rsidRPr="0056639C">
        <w:rPr>
          <w:sz w:val="20"/>
          <w:szCs w:val="20"/>
        </w:rPr>
        <w:t xml:space="preserve"> Research Platform, a federated health research network encompassing 72 healthcare organizations within the U.S. Collaborative Network. </w:t>
      </w:r>
      <w:proofErr w:type="spellStart"/>
      <w:r w:rsidRPr="0056639C">
        <w:rPr>
          <w:sz w:val="20"/>
          <w:szCs w:val="20"/>
        </w:rPr>
        <w:t>TriNetX</w:t>
      </w:r>
      <w:proofErr w:type="spellEnd"/>
      <w:r w:rsidRPr="0056639C">
        <w:rPr>
          <w:sz w:val="20"/>
          <w:szCs w:val="20"/>
        </w:rPr>
        <w:t xml:space="preserve"> houses more than 250 million de-identified patient records and provides comprehensive clinical data on demographics, diagnoses, procedures, laboratory results, and medication histories. By leveraging this large, real-world dataset, our study aims to clarify the potential association between diabetes and intraoperative awareness, thereby improving preoperative risk stratification, informing individualized anesthetic management, and guiding targeted strategies to enhance perioperative safety in this high-risk and growing patient population. </w:t>
      </w:r>
    </w:p>
    <w:p w14:paraId="69449D78" w14:textId="77777777" w:rsidR="00A07745" w:rsidRPr="0056639C" w:rsidRDefault="00000000">
      <w:pPr>
        <w:spacing w:line="360" w:lineRule="auto"/>
        <w:rPr>
          <w:sz w:val="20"/>
          <w:szCs w:val="20"/>
        </w:rPr>
      </w:pPr>
      <w:r w:rsidRPr="0056639C">
        <w:rPr>
          <w:sz w:val="20"/>
          <w:szCs w:val="20"/>
        </w:rPr>
        <w:t xml:space="preserve"> </w:t>
      </w:r>
    </w:p>
    <w:p w14:paraId="085A0087" w14:textId="77777777" w:rsidR="00A07745" w:rsidRPr="0056639C" w:rsidRDefault="00000000">
      <w:pPr>
        <w:spacing w:line="360" w:lineRule="auto"/>
        <w:rPr>
          <w:b/>
          <w:sz w:val="20"/>
          <w:szCs w:val="20"/>
        </w:rPr>
      </w:pPr>
      <w:r w:rsidRPr="0056639C">
        <w:rPr>
          <w:b/>
          <w:sz w:val="20"/>
          <w:szCs w:val="20"/>
        </w:rPr>
        <w:t>METHODS</w:t>
      </w:r>
    </w:p>
    <w:p w14:paraId="7FD2FF26" w14:textId="77777777" w:rsidR="00A07745" w:rsidRPr="0056639C" w:rsidRDefault="00A07745">
      <w:pPr>
        <w:spacing w:line="360" w:lineRule="auto"/>
        <w:rPr>
          <w:sz w:val="20"/>
          <w:szCs w:val="20"/>
        </w:rPr>
      </w:pPr>
    </w:p>
    <w:p w14:paraId="5C935947" w14:textId="0DF2823A" w:rsidR="00A07745" w:rsidRPr="0056639C" w:rsidRDefault="00000000">
      <w:pPr>
        <w:spacing w:line="360" w:lineRule="auto"/>
        <w:rPr>
          <w:sz w:val="20"/>
          <w:szCs w:val="20"/>
        </w:rPr>
      </w:pPr>
      <w:r w:rsidRPr="0056639C">
        <w:rPr>
          <w:b/>
          <w:sz w:val="20"/>
          <w:szCs w:val="20"/>
        </w:rPr>
        <w:t>Data Set</w:t>
      </w:r>
      <w:r w:rsidRPr="0056639C">
        <w:rPr>
          <w:sz w:val="20"/>
          <w:szCs w:val="20"/>
        </w:rPr>
        <w:t xml:space="preserve">: This study </w:t>
      </w:r>
      <w:r w:rsidR="001D1724" w:rsidRPr="0056639C">
        <w:rPr>
          <w:sz w:val="20"/>
          <w:szCs w:val="20"/>
        </w:rPr>
        <w:t xml:space="preserve">was conducted using </w:t>
      </w:r>
      <w:r w:rsidRPr="0056639C">
        <w:rPr>
          <w:sz w:val="20"/>
          <w:szCs w:val="20"/>
        </w:rPr>
        <w:t xml:space="preserve">a retrospective cohort design </w:t>
      </w:r>
      <w:r w:rsidR="005F6CA0">
        <w:rPr>
          <w:sz w:val="20"/>
          <w:szCs w:val="20"/>
        </w:rPr>
        <w:t>with</w:t>
      </w:r>
      <w:r w:rsidR="005F6CA0" w:rsidRPr="0056639C">
        <w:rPr>
          <w:sz w:val="20"/>
          <w:szCs w:val="20"/>
        </w:rPr>
        <w:t xml:space="preserve"> </w:t>
      </w:r>
      <w:r w:rsidRPr="0056639C">
        <w:rPr>
          <w:sz w:val="20"/>
          <w:szCs w:val="20"/>
        </w:rPr>
        <w:t xml:space="preserve">anonymized patient data extracted from the </w:t>
      </w:r>
      <w:proofErr w:type="spellStart"/>
      <w:r w:rsidRPr="0056639C">
        <w:rPr>
          <w:sz w:val="20"/>
          <w:szCs w:val="20"/>
        </w:rPr>
        <w:t>TriNetX</w:t>
      </w:r>
      <w:proofErr w:type="spellEnd"/>
      <w:r w:rsidRPr="0056639C">
        <w:rPr>
          <w:sz w:val="20"/>
          <w:szCs w:val="20"/>
        </w:rPr>
        <w:t xml:space="preserve"> research platform, a federated health research network comprising electronic health record (EHR) data from diverse healthcare organizations across the U.S.</w:t>
      </w:r>
    </w:p>
    <w:p w14:paraId="1BD4D808" w14:textId="77777777" w:rsidR="00A07745" w:rsidRPr="0056639C" w:rsidRDefault="00A07745">
      <w:pPr>
        <w:spacing w:line="360" w:lineRule="auto"/>
        <w:rPr>
          <w:sz w:val="20"/>
          <w:szCs w:val="20"/>
        </w:rPr>
      </w:pPr>
    </w:p>
    <w:p w14:paraId="4F705936" w14:textId="79E762D6" w:rsidR="00A07745" w:rsidRPr="0056639C" w:rsidRDefault="00000000">
      <w:pPr>
        <w:spacing w:line="360" w:lineRule="auto"/>
        <w:rPr>
          <w:sz w:val="20"/>
          <w:szCs w:val="20"/>
        </w:rPr>
      </w:pPr>
      <w:r w:rsidRPr="0056639C">
        <w:rPr>
          <w:b/>
          <w:color w:val="000000"/>
          <w:sz w:val="20"/>
          <w:szCs w:val="20"/>
        </w:rPr>
        <w:t>Study Population</w:t>
      </w:r>
      <w:r w:rsidRPr="0056639C">
        <w:rPr>
          <w:b/>
          <w:sz w:val="20"/>
          <w:szCs w:val="20"/>
        </w:rPr>
        <w:t>:</w:t>
      </w:r>
      <w:r w:rsidRPr="0056639C">
        <w:rPr>
          <w:b/>
          <w:color w:val="000000"/>
          <w:sz w:val="20"/>
          <w:szCs w:val="20"/>
        </w:rPr>
        <w:t xml:space="preserve"> </w:t>
      </w:r>
      <w:r w:rsidRPr="0056639C">
        <w:rPr>
          <w:color w:val="000000"/>
          <w:sz w:val="20"/>
          <w:szCs w:val="20"/>
        </w:rPr>
        <w:t xml:space="preserve">Two patient cohorts undergoing procedures requiring general anesthesia (GA) were established for comparative analysis: a diabetic cohort (patients who had at least one documented diagnosis of </w:t>
      </w:r>
      <w:r w:rsidRPr="0056639C">
        <w:rPr>
          <w:sz w:val="20"/>
          <w:szCs w:val="20"/>
        </w:rPr>
        <w:t>DM</w:t>
      </w:r>
      <w:r w:rsidRPr="0056639C">
        <w:rPr>
          <w:color w:val="000000"/>
          <w:sz w:val="20"/>
          <w:szCs w:val="20"/>
        </w:rPr>
        <w:t xml:space="preserve"> </w:t>
      </w:r>
      <w:r w:rsidRPr="0056639C">
        <w:rPr>
          <w:sz w:val="20"/>
          <w:szCs w:val="20"/>
        </w:rPr>
        <w:t xml:space="preserve">using the 10th version of the International Classification of Diseases codes (ICD-10 </w:t>
      </w:r>
      <w:r w:rsidRPr="0056639C">
        <w:rPr>
          <w:color w:val="000000"/>
          <w:sz w:val="20"/>
          <w:szCs w:val="20"/>
        </w:rPr>
        <w:t>codes E</w:t>
      </w:r>
      <w:r w:rsidR="00D57301">
        <w:rPr>
          <w:color w:val="000000"/>
          <w:sz w:val="20"/>
          <w:szCs w:val="20"/>
        </w:rPr>
        <w:t>0</w:t>
      </w:r>
      <w:r w:rsidRPr="0056639C">
        <w:rPr>
          <w:sz w:val="20"/>
          <w:szCs w:val="20"/>
        </w:rPr>
        <w:t>8</w:t>
      </w:r>
      <w:r w:rsidRPr="0056639C">
        <w:rPr>
          <w:color w:val="000000"/>
          <w:sz w:val="20"/>
          <w:szCs w:val="20"/>
        </w:rPr>
        <w:t>–E1</w:t>
      </w:r>
      <w:r w:rsidRPr="0056639C">
        <w:rPr>
          <w:sz w:val="20"/>
          <w:szCs w:val="20"/>
        </w:rPr>
        <w:t>3</w:t>
      </w:r>
      <w:r w:rsidRPr="0056639C">
        <w:rPr>
          <w:color w:val="000000"/>
          <w:sz w:val="20"/>
          <w:szCs w:val="20"/>
        </w:rPr>
        <w:t>) recorded in the EHR prior to the index surgery date) and a matched non-diabetic control cohort (patients without any documented diagnosis of</w:t>
      </w:r>
      <w:r w:rsidRPr="0056639C">
        <w:rPr>
          <w:sz w:val="20"/>
          <w:szCs w:val="20"/>
        </w:rPr>
        <w:t xml:space="preserve"> DM</w:t>
      </w:r>
      <w:r w:rsidRPr="0056639C">
        <w:rPr>
          <w:color w:val="000000"/>
          <w:sz w:val="20"/>
          <w:szCs w:val="20"/>
        </w:rPr>
        <w:t xml:space="preserve"> (ICD-10 codes E</w:t>
      </w:r>
      <w:r w:rsidR="00D57301">
        <w:rPr>
          <w:color w:val="000000"/>
          <w:sz w:val="20"/>
          <w:szCs w:val="20"/>
        </w:rPr>
        <w:t>0</w:t>
      </w:r>
      <w:r w:rsidRPr="0056639C">
        <w:rPr>
          <w:sz w:val="20"/>
          <w:szCs w:val="20"/>
        </w:rPr>
        <w:t>8</w:t>
      </w:r>
      <w:r w:rsidRPr="0056639C">
        <w:rPr>
          <w:color w:val="000000"/>
          <w:sz w:val="20"/>
          <w:szCs w:val="20"/>
        </w:rPr>
        <w:t>–E1</w:t>
      </w:r>
      <w:r w:rsidRPr="0056639C">
        <w:rPr>
          <w:sz w:val="20"/>
          <w:szCs w:val="20"/>
        </w:rPr>
        <w:t>3</w:t>
      </w:r>
      <w:r w:rsidRPr="0056639C">
        <w:rPr>
          <w:color w:val="000000"/>
          <w:sz w:val="20"/>
          <w:szCs w:val="20"/>
        </w:rPr>
        <w:t xml:space="preserve">) at any point prior to the surgical procedure date). </w:t>
      </w:r>
      <w:r w:rsidR="006856A9" w:rsidRPr="0056639C">
        <w:rPr>
          <w:color w:val="000000"/>
          <w:sz w:val="20"/>
          <w:szCs w:val="20"/>
        </w:rPr>
        <w:t xml:space="preserve">Data were collected from June 2005 to June 2025, and the index event (time zero) was defined as the first recorded anesthetic encounter for each patient during the study period. </w:t>
      </w:r>
      <w:r w:rsidR="00782EEC" w:rsidRPr="0056639C">
        <w:rPr>
          <w:color w:val="000000"/>
          <w:sz w:val="20"/>
          <w:szCs w:val="20"/>
        </w:rPr>
        <w:t xml:space="preserve">In addition, diabetes status and all covariates were ascertained from the </w:t>
      </w:r>
      <w:r w:rsidR="00FC2C5B" w:rsidRPr="0056639C">
        <w:rPr>
          <w:color w:val="000000"/>
          <w:sz w:val="20"/>
          <w:szCs w:val="20"/>
        </w:rPr>
        <w:t>EHR</w:t>
      </w:r>
      <w:r w:rsidR="00782EEC" w:rsidRPr="0056639C">
        <w:rPr>
          <w:color w:val="000000"/>
          <w:sz w:val="20"/>
          <w:szCs w:val="20"/>
        </w:rPr>
        <w:t xml:space="preserve"> record strictly prior to this index event. </w:t>
      </w:r>
      <w:r w:rsidRPr="0056639C">
        <w:rPr>
          <w:color w:val="000000"/>
          <w:sz w:val="20"/>
          <w:szCs w:val="20"/>
        </w:rPr>
        <w:t xml:space="preserve">Patients were identified from EHR data based on predetermined inclusion and exclusion criteria within the </w:t>
      </w:r>
      <w:proofErr w:type="spellStart"/>
      <w:r w:rsidRPr="0056639C">
        <w:rPr>
          <w:color w:val="000000"/>
          <w:sz w:val="20"/>
          <w:szCs w:val="20"/>
        </w:rPr>
        <w:t>TriNetX</w:t>
      </w:r>
      <w:proofErr w:type="spellEnd"/>
      <w:r w:rsidRPr="0056639C">
        <w:rPr>
          <w:color w:val="000000"/>
          <w:sz w:val="20"/>
          <w:szCs w:val="20"/>
        </w:rPr>
        <w:t xml:space="preserve"> platform. Patients were required to meet all of the following conditions for inclusion:</w:t>
      </w:r>
    </w:p>
    <w:p w14:paraId="241B5033" w14:textId="77777777" w:rsidR="00A07745" w:rsidRPr="0056639C" w:rsidRDefault="00000000">
      <w:pPr>
        <w:numPr>
          <w:ilvl w:val="0"/>
          <w:numId w:val="1"/>
        </w:numPr>
        <w:spacing w:line="360" w:lineRule="auto"/>
        <w:rPr>
          <w:sz w:val="20"/>
          <w:szCs w:val="20"/>
        </w:rPr>
      </w:pPr>
      <w:r w:rsidRPr="0056639C">
        <w:rPr>
          <w:sz w:val="20"/>
          <w:szCs w:val="20"/>
        </w:rPr>
        <w:lastRenderedPageBreak/>
        <w:t>Anesthesia Encounter: Documentation of anesthesia service codes (</w:t>
      </w:r>
      <w:proofErr w:type="spellStart"/>
      <w:r w:rsidRPr="0056639C">
        <w:rPr>
          <w:sz w:val="20"/>
          <w:szCs w:val="20"/>
        </w:rPr>
        <w:t>TriNetX</w:t>
      </w:r>
      <w:proofErr w:type="spellEnd"/>
      <w:r w:rsidRPr="0056639C">
        <w:rPr>
          <w:sz w:val="20"/>
          <w:szCs w:val="20"/>
        </w:rPr>
        <w:t xml:space="preserve"> anesthesia code 1002796) indicating anesthesia services.</w:t>
      </w:r>
    </w:p>
    <w:p w14:paraId="46E0775D" w14:textId="77777777" w:rsidR="00A07745" w:rsidRPr="0056639C" w:rsidRDefault="00000000">
      <w:pPr>
        <w:numPr>
          <w:ilvl w:val="0"/>
          <w:numId w:val="1"/>
        </w:numPr>
        <w:spacing w:line="360" w:lineRule="auto"/>
        <w:rPr>
          <w:sz w:val="20"/>
          <w:szCs w:val="20"/>
        </w:rPr>
      </w:pPr>
      <w:r w:rsidRPr="0056639C">
        <w:rPr>
          <w:sz w:val="20"/>
          <w:szCs w:val="20"/>
        </w:rPr>
        <w:t>General Anesthetic Medication Administration: Evidence of receiving at least one pharmacological agent strongly indicative of general anesthesia, including:</w:t>
      </w:r>
    </w:p>
    <w:p w14:paraId="2C500586" w14:textId="77777777" w:rsidR="00A07745" w:rsidRPr="00545FD4" w:rsidRDefault="00000000">
      <w:pPr>
        <w:numPr>
          <w:ilvl w:val="2"/>
          <w:numId w:val="1"/>
        </w:numPr>
        <w:spacing w:line="360" w:lineRule="auto"/>
        <w:rPr>
          <w:rFonts w:eastAsia="Times New Roman"/>
          <w:sz w:val="20"/>
          <w:szCs w:val="20"/>
        </w:rPr>
      </w:pPr>
      <w:r w:rsidRPr="0056639C">
        <w:rPr>
          <w:sz w:val="20"/>
          <w:szCs w:val="20"/>
        </w:rPr>
        <w:t xml:space="preserve">Volatile anesthetics (sevoflurane, isoflurane, desflurane), </w:t>
      </w:r>
      <w:r w:rsidRPr="0056639C">
        <w:rPr>
          <w:b/>
          <w:sz w:val="20"/>
          <w:szCs w:val="20"/>
        </w:rPr>
        <w:t>OR</w:t>
      </w:r>
    </w:p>
    <w:p w14:paraId="14F0BE3F" w14:textId="77777777" w:rsidR="00A07745" w:rsidRPr="00545FD4" w:rsidRDefault="00000000">
      <w:pPr>
        <w:numPr>
          <w:ilvl w:val="2"/>
          <w:numId w:val="1"/>
        </w:numPr>
        <w:spacing w:line="360" w:lineRule="auto"/>
        <w:rPr>
          <w:rFonts w:eastAsia="Times New Roman"/>
          <w:sz w:val="20"/>
          <w:szCs w:val="20"/>
        </w:rPr>
      </w:pPr>
      <w:r w:rsidRPr="0056639C">
        <w:rPr>
          <w:sz w:val="20"/>
          <w:szCs w:val="20"/>
        </w:rPr>
        <w:t xml:space="preserve">Neuromuscular blocking agents (succinylcholine, rocuronium, vecuronium), </w:t>
      </w:r>
      <w:r w:rsidRPr="0056639C">
        <w:rPr>
          <w:b/>
          <w:sz w:val="20"/>
          <w:szCs w:val="20"/>
        </w:rPr>
        <w:t>OR</w:t>
      </w:r>
    </w:p>
    <w:p w14:paraId="72BF452F" w14:textId="77777777" w:rsidR="00A07745" w:rsidRPr="0056639C" w:rsidRDefault="00000000">
      <w:pPr>
        <w:numPr>
          <w:ilvl w:val="2"/>
          <w:numId w:val="1"/>
        </w:numPr>
        <w:spacing w:line="360" w:lineRule="auto"/>
        <w:rPr>
          <w:sz w:val="20"/>
          <w:szCs w:val="20"/>
        </w:rPr>
      </w:pPr>
      <w:r w:rsidRPr="0056639C">
        <w:rPr>
          <w:sz w:val="20"/>
          <w:szCs w:val="20"/>
        </w:rPr>
        <w:t>Total intravenous anesthesia (TIVA), specifically a combination of propofol with remifentanil.</w:t>
      </w:r>
    </w:p>
    <w:p w14:paraId="2ECE1529" w14:textId="77777777" w:rsidR="00A07745" w:rsidRPr="0056639C" w:rsidRDefault="00000000">
      <w:pPr>
        <w:numPr>
          <w:ilvl w:val="0"/>
          <w:numId w:val="1"/>
        </w:numPr>
        <w:spacing w:line="360" w:lineRule="auto"/>
        <w:rPr>
          <w:sz w:val="20"/>
          <w:szCs w:val="20"/>
        </w:rPr>
      </w:pPr>
      <w:r w:rsidRPr="0056639C">
        <w:rPr>
          <w:sz w:val="20"/>
          <w:szCs w:val="20"/>
        </w:rPr>
        <w:t>Surgical or Procedural Context: Underwent at least one invasive procedure frequently associated with GA within one day of documented anesthetic medication administration. Relevant procedures included cardiovascular, neurological, gastrointestinal, endocrine, musculoskeletal, maternity-related surgeries, and interventional radiological therapeutic procedures.</w:t>
      </w:r>
    </w:p>
    <w:p w14:paraId="330E8DC0" w14:textId="77777777" w:rsidR="00A07745" w:rsidRPr="0056639C" w:rsidRDefault="00A07745">
      <w:pPr>
        <w:spacing w:line="360" w:lineRule="auto"/>
        <w:ind w:left="720"/>
        <w:rPr>
          <w:sz w:val="20"/>
          <w:szCs w:val="20"/>
        </w:rPr>
      </w:pPr>
    </w:p>
    <w:p w14:paraId="5060E002" w14:textId="77777777" w:rsidR="00A07745" w:rsidRPr="0056639C" w:rsidRDefault="00000000">
      <w:pPr>
        <w:spacing w:line="360" w:lineRule="auto"/>
        <w:rPr>
          <w:sz w:val="20"/>
          <w:szCs w:val="20"/>
        </w:rPr>
      </w:pPr>
      <w:r w:rsidRPr="0056639C">
        <w:rPr>
          <w:sz w:val="20"/>
          <w:szCs w:val="20"/>
        </w:rPr>
        <w:t>To more precisely attribute any association between DM and intraoperative awareness, patients were excluded from both cohorts if they had documented ICD-10 diagnoses prior to surgery of the following confounding conditions:</w:t>
      </w:r>
    </w:p>
    <w:p w14:paraId="2F7E7DBA" w14:textId="77777777" w:rsidR="00A07745" w:rsidRPr="0056639C" w:rsidRDefault="00000000">
      <w:pPr>
        <w:numPr>
          <w:ilvl w:val="0"/>
          <w:numId w:val="2"/>
        </w:numPr>
        <w:spacing w:line="360" w:lineRule="auto"/>
        <w:rPr>
          <w:sz w:val="20"/>
          <w:szCs w:val="20"/>
        </w:rPr>
      </w:pPr>
      <w:r w:rsidRPr="0056639C">
        <w:rPr>
          <w:sz w:val="20"/>
          <w:szCs w:val="20"/>
        </w:rPr>
        <w:t>Cognitive impairment or dementia preventing postoperative recall</w:t>
      </w:r>
    </w:p>
    <w:p w14:paraId="22AA099C" w14:textId="75327A75" w:rsidR="00A07745" w:rsidRPr="0056639C" w:rsidRDefault="00000000">
      <w:pPr>
        <w:numPr>
          <w:ilvl w:val="0"/>
          <w:numId w:val="2"/>
        </w:numPr>
        <w:spacing w:line="360" w:lineRule="auto"/>
        <w:rPr>
          <w:sz w:val="20"/>
          <w:szCs w:val="20"/>
        </w:rPr>
      </w:pPr>
      <w:r w:rsidRPr="0056639C">
        <w:rPr>
          <w:sz w:val="20"/>
          <w:szCs w:val="20"/>
        </w:rPr>
        <w:t>Chronic obstructive pulmonary disease</w:t>
      </w:r>
      <w:r w:rsidR="00387A35" w:rsidRPr="0056639C">
        <w:rPr>
          <w:sz w:val="20"/>
          <w:szCs w:val="20"/>
        </w:rPr>
        <w:t xml:space="preserve"> </w:t>
      </w:r>
    </w:p>
    <w:p w14:paraId="703F729F" w14:textId="77777777" w:rsidR="00A07745" w:rsidRPr="0056639C" w:rsidRDefault="00000000">
      <w:pPr>
        <w:numPr>
          <w:ilvl w:val="0"/>
          <w:numId w:val="2"/>
        </w:numPr>
        <w:spacing w:line="360" w:lineRule="auto"/>
        <w:rPr>
          <w:sz w:val="20"/>
          <w:szCs w:val="20"/>
        </w:rPr>
      </w:pPr>
      <w:r w:rsidRPr="0056639C">
        <w:rPr>
          <w:sz w:val="20"/>
          <w:szCs w:val="20"/>
        </w:rPr>
        <w:t>Active hepatitis</w:t>
      </w:r>
    </w:p>
    <w:p w14:paraId="4D1D2C81" w14:textId="77777777" w:rsidR="00A07745" w:rsidRPr="0056639C" w:rsidRDefault="00000000">
      <w:pPr>
        <w:numPr>
          <w:ilvl w:val="0"/>
          <w:numId w:val="2"/>
        </w:numPr>
        <w:spacing w:line="360" w:lineRule="auto"/>
        <w:rPr>
          <w:sz w:val="20"/>
          <w:szCs w:val="20"/>
        </w:rPr>
      </w:pPr>
      <w:r w:rsidRPr="0056639C">
        <w:rPr>
          <w:sz w:val="20"/>
          <w:szCs w:val="20"/>
        </w:rPr>
        <w:t>Alcohol dependence or abuse</w:t>
      </w:r>
    </w:p>
    <w:p w14:paraId="73413C88" w14:textId="77777777" w:rsidR="00A07745" w:rsidRPr="0056639C" w:rsidRDefault="00000000">
      <w:pPr>
        <w:numPr>
          <w:ilvl w:val="0"/>
          <w:numId w:val="2"/>
        </w:numPr>
        <w:spacing w:line="360" w:lineRule="auto"/>
        <w:rPr>
          <w:sz w:val="20"/>
          <w:szCs w:val="20"/>
        </w:rPr>
      </w:pPr>
      <w:r w:rsidRPr="0056639C">
        <w:rPr>
          <w:sz w:val="20"/>
          <w:szCs w:val="20"/>
        </w:rPr>
        <w:t>History of myocardial infarction</w:t>
      </w:r>
    </w:p>
    <w:p w14:paraId="28BC2E49" w14:textId="77777777" w:rsidR="00A07745" w:rsidRPr="0056639C" w:rsidRDefault="00000000">
      <w:pPr>
        <w:numPr>
          <w:ilvl w:val="0"/>
          <w:numId w:val="2"/>
        </w:numPr>
        <w:spacing w:line="360" w:lineRule="auto"/>
        <w:rPr>
          <w:sz w:val="20"/>
          <w:szCs w:val="20"/>
        </w:rPr>
      </w:pPr>
      <w:r w:rsidRPr="0056639C">
        <w:rPr>
          <w:sz w:val="20"/>
          <w:szCs w:val="20"/>
        </w:rPr>
        <w:t>Cerebrovascular accident</w:t>
      </w:r>
    </w:p>
    <w:p w14:paraId="56486A2E" w14:textId="77777777" w:rsidR="00A07745" w:rsidRPr="0056639C" w:rsidRDefault="00000000">
      <w:pPr>
        <w:numPr>
          <w:ilvl w:val="0"/>
          <w:numId w:val="2"/>
        </w:numPr>
        <w:spacing w:line="360" w:lineRule="auto"/>
        <w:rPr>
          <w:sz w:val="20"/>
          <w:szCs w:val="20"/>
        </w:rPr>
      </w:pPr>
      <w:r w:rsidRPr="0056639C">
        <w:rPr>
          <w:sz w:val="20"/>
          <w:szCs w:val="20"/>
        </w:rPr>
        <w:t>Transient ischemic attack</w:t>
      </w:r>
    </w:p>
    <w:p w14:paraId="331E4160" w14:textId="77777777" w:rsidR="00A07745" w:rsidRPr="0056639C" w:rsidRDefault="00000000">
      <w:pPr>
        <w:numPr>
          <w:ilvl w:val="0"/>
          <w:numId w:val="2"/>
        </w:numPr>
        <w:spacing w:line="360" w:lineRule="auto"/>
        <w:rPr>
          <w:sz w:val="20"/>
          <w:szCs w:val="20"/>
        </w:rPr>
      </w:pPr>
      <w:r w:rsidRPr="0056639C">
        <w:rPr>
          <w:sz w:val="20"/>
          <w:szCs w:val="20"/>
        </w:rPr>
        <w:t>Coronary artery disease</w:t>
      </w:r>
    </w:p>
    <w:p w14:paraId="2ABED179" w14:textId="77777777" w:rsidR="00A07745" w:rsidRPr="0056639C" w:rsidRDefault="00000000">
      <w:pPr>
        <w:numPr>
          <w:ilvl w:val="0"/>
          <w:numId w:val="2"/>
        </w:numPr>
        <w:spacing w:line="360" w:lineRule="auto"/>
        <w:rPr>
          <w:sz w:val="20"/>
          <w:szCs w:val="20"/>
        </w:rPr>
      </w:pPr>
      <w:r w:rsidRPr="0056639C">
        <w:rPr>
          <w:sz w:val="20"/>
          <w:szCs w:val="20"/>
        </w:rPr>
        <w:t>Medication or drug abuse or dependence</w:t>
      </w:r>
    </w:p>
    <w:p w14:paraId="7576E160" w14:textId="77777777" w:rsidR="00A07745" w:rsidRPr="0056639C" w:rsidRDefault="00000000">
      <w:pPr>
        <w:numPr>
          <w:ilvl w:val="0"/>
          <w:numId w:val="2"/>
        </w:numPr>
        <w:spacing w:line="360" w:lineRule="auto"/>
        <w:rPr>
          <w:sz w:val="20"/>
          <w:szCs w:val="20"/>
        </w:rPr>
      </w:pPr>
      <w:r w:rsidRPr="0056639C">
        <w:rPr>
          <w:sz w:val="20"/>
          <w:szCs w:val="20"/>
        </w:rPr>
        <w:t>Procedures performed explicitly under monitored anesthesia care (MAC), sedation-only, or regional anesthesia without general anesthesia documentation</w:t>
      </w:r>
    </w:p>
    <w:p w14:paraId="4FAFDC56" w14:textId="77777777" w:rsidR="00387A35" w:rsidRPr="0056639C" w:rsidRDefault="00387A35">
      <w:pPr>
        <w:spacing w:line="360" w:lineRule="auto"/>
        <w:rPr>
          <w:sz w:val="20"/>
          <w:szCs w:val="20"/>
        </w:rPr>
      </w:pPr>
    </w:p>
    <w:p w14:paraId="6108FDF1" w14:textId="0CA4F5C9" w:rsidR="00A07745" w:rsidRPr="0056639C" w:rsidRDefault="00000000">
      <w:pPr>
        <w:spacing w:line="360" w:lineRule="auto"/>
        <w:rPr>
          <w:sz w:val="20"/>
          <w:szCs w:val="20"/>
        </w:rPr>
      </w:pPr>
      <w:r w:rsidRPr="0056639C">
        <w:rPr>
          <w:sz w:val="20"/>
          <w:szCs w:val="20"/>
        </w:rPr>
        <w:t>The primary outcome was the documented occurrence of intraoperative awareness, identified by ICD-10-CM codes T88.53 (“Unintended awareness under general anesthesia”) or Z92.84 (“Personal history of unintended awareness under general anesthesia”), recorded either during the index anesthetic event or within a five-year window following the event. This time frame was selected to</w:t>
      </w:r>
      <w:r w:rsidR="000922FE" w:rsidRPr="0056639C">
        <w:rPr>
          <w:sz w:val="20"/>
          <w:szCs w:val="20"/>
        </w:rPr>
        <w:t xml:space="preserve"> minimize underestimation of intraoperative awareness incidence and to</w:t>
      </w:r>
      <w:r w:rsidRPr="0056639C">
        <w:rPr>
          <w:sz w:val="20"/>
          <w:szCs w:val="20"/>
        </w:rPr>
        <w:t xml:space="preserve"> capture</w:t>
      </w:r>
      <w:r w:rsidR="000922FE" w:rsidRPr="0056639C">
        <w:rPr>
          <w:sz w:val="20"/>
          <w:szCs w:val="20"/>
        </w:rPr>
        <w:t xml:space="preserve"> frequently underreported or</w:t>
      </w:r>
      <w:r w:rsidRPr="0056639C">
        <w:rPr>
          <w:sz w:val="20"/>
          <w:szCs w:val="20"/>
        </w:rPr>
        <w:t xml:space="preserve"> delayed documentation of intraoperative awareness that may still be temporally and clinically related to the original surgical procedure.</w:t>
      </w:r>
      <w:r w:rsidR="00E57306" w:rsidRPr="0056639C">
        <w:rPr>
          <w:sz w:val="20"/>
          <w:szCs w:val="20"/>
          <w:vertAlign w:val="superscript"/>
        </w:rPr>
        <w:t>3</w:t>
      </w:r>
      <w:r w:rsidRPr="0056639C">
        <w:rPr>
          <w:sz w:val="20"/>
          <w:szCs w:val="20"/>
        </w:rPr>
        <w:t xml:space="preserve"> (Figure 1)</w:t>
      </w:r>
    </w:p>
    <w:p w14:paraId="31030375" w14:textId="77777777" w:rsidR="00A07745" w:rsidRPr="0056639C" w:rsidRDefault="00A07745">
      <w:pPr>
        <w:spacing w:line="360" w:lineRule="auto"/>
        <w:rPr>
          <w:sz w:val="20"/>
          <w:szCs w:val="20"/>
        </w:rPr>
      </w:pPr>
    </w:p>
    <w:p w14:paraId="5BA87179" w14:textId="5B84456C" w:rsidR="00A07745" w:rsidRPr="0056639C" w:rsidRDefault="00000000">
      <w:pPr>
        <w:spacing w:line="360" w:lineRule="auto"/>
        <w:rPr>
          <w:sz w:val="20"/>
          <w:szCs w:val="20"/>
        </w:rPr>
      </w:pPr>
      <w:r w:rsidRPr="0056639C">
        <w:rPr>
          <w:b/>
          <w:sz w:val="20"/>
          <w:szCs w:val="20"/>
        </w:rPr>
        <w:lastRenderedPageBreak/>
        <w:t>Statistical Analysis:</w:t>
      </w:r>
      <w:r w:rsidRPr="0056639C">
        <w:rPr>
          <w:sz w:val="20"/>
          <w:szCs w:val="20"/>
        </w:rPr>
        <w:t xml:space="preserve"> Descriptive statistics (frequencies and percentages) were calculated to summarize patient demographics and clinical characteristics within each cohort. Cohorts were balanced using a 1:1 propensity score matching approach to control for potential confounding factors.</w:t>
      </w:r>
      <w:r w:rsidR="005A6BCC" w:rsidRPr="0056639C">
        <w:rPr>
          <w:sz w:val="20"/>
          <w:szCs w:val="20"/>
        </w:rPr>
        <w:t xml:space="preserve"> </w:t>
      </w:r>
      <w:r w:rsidR="005C5844" w:rsidRPr="0056639C">
        <w:rPr>
          <w:sz w:val="20"/>
          <w:szCs w:val="20"/>
        </w:rPr>
        <w:t xml:space="preserve">The </w:t>
      </w:r>
      <w:proofErr w:type="spellStart"/>
      <w:r w:rsidR="005C5844" w:rsidRPr="0056639C">
        <w:rPr>
          <w:sz w:val="20"/>
          <w:szCs w:val="20"/>
        </w:rPr>
        <w:t>TriNetX</w:t>
      </w:r>
      <w:proofErr w:type="spellEnd"/>
      <w:r w:rsidR="005C5844" w:rsidRPr="0056639C">
        <w:rPr>
          <w:sz w:val="20"/>
          <w:szCs w:val="20"/>
        </w:rPr>
        <w:t xml:space="preserve"> Analytics Platform performs cohort comparison and propensity-score matching as an integrated, automated procedure: the platform first compares the two cohorts across a comprehensive, predefined variable set that includes (</w:t>
      </w:r>
      <w:proofErr w:type="spellStart"/>
      <w:r w:rsidR="005C5844" w:rsidRPr="0056639C">
        <w:rPr>
          <w:sz w:val="20"/>
          <w:szCs w:val="20"/>
        </w:rPr>
        <w:t>i</w:t>
      </w:r>
      <w:proofErr w:type="spellEnd"/>
      <w:r w:rsidR="005C5844" w:rsidRPr="0056639C">
        <w:rPr>
          <w:sz w:val="20"/>
          <w:szCs w:val="20"/>
        </w:rPr>
        <w:t xml:space="preserve">) demographic characteristics (age at index, sex, race, ethnicity); (ii) all 22 ICD-10 diagnostic chapters; (iii) </w:t>
      </w:r>
      <w:proofErr w:type="spellStart"/>
      <w:r w:rsidR="005C5844" w:rsidRPr="0056639C">
        <w:rPr>
          <w:sz w:val="20"/>
          <w:szCs w:val="20"/>
        </w:rPr>
        <w:t>TriNetX</w:t>
      </w:r>
      <w:proofErr w:type="spellEnd"/>
      <w:r w:rsidR="005C5844" w:rsidRPr="0056639C">
        <w:rPr>
          <w:sz w:val="20"/>
          <w:szCs w:val="20"/>
        </w:rPr>
        <w:t>-defined CPT procedure categories (Anesthesia [1002796], Surgery [1003143], Pathology and Laboratory [1011136], Evaluation and Management [1013625], Medicine Services [1012569], Radiology [1010251]</w:t>
      </w:r>
      <w:r w:rsidR="00D221A9">
        <w:rPr>
          <w:sz w:val="20"/>
          <w:szCs w:val="20"/>
        </w:rPr>
        <w:t xml:space="preserve">, </w:t>
      </w:r>
      <w:proofErr w:type="spellStart"/>
      <w:r w:rsidR="00D221A9">
        <w:rPr>
          <w:sz w:val="20"/>
          <w:szCs w:val="20"/>
        </w:rPr>
        <w:t>etc</w:t>
      </w:r>
      <w:proofErr w:type="spellEnd"/>
      <w:r w:rsidR="005C5844" w:rsidRPr="0056639C">
        <w:rPr>
          <w:sz w:val="20"/>
          <w:szCs w:val="20"/>
        </w:rPr>
        <w:t xml:space="preserve">); and (iv) the full set of VA National Drug File medication classes (Central Nervous System, Cardiovascular, Autonomic, Respiratory, Gastrointestinal, Antimicrobials, Hormones, Blood products, and others). The platform then automatically identifies variables exhibiting significant pre-match differences using its built-in significance indicator, and enters only those flagged variables into the 1:1 greedy </w:t>
      </w:r>
      <w:r w:rsidR="00EF45AC" w:rsidRPr="0056639C">
        <w:rPr>
          <w:sz w:val="20"/>
          <w:szCs w:val="20"/>
        </w:rPr>
        <w:t>nearest neighbor</w:t>
      </w:r>
      <w:r w:rsidR="005C5844" w:rsidRPr="0056639C">
        <w:rPr>
          <w:sz w:val="20"/>
          <w:szCs w:val="20"/>
        </w:rPr>
        <w:t xml:space="preserve"> propensity-score matching algorithm (caliper 0.1 standardized logit units, without replacement).</w:t>
      </w:r>
      <w:r w:rsidR="003F727E" w:rsidRPr="00545FD4">
        <w:rPr>
          <w:sz w:val="20"/>
          <w:szCs w:val="20"/>
          <w:vertAlign w:val="superscript"/>
        </w:rPr>
        <w:t>14</w:t>
      </w:r>
      <w:r w:rsidR="005C5844" w:rsidRPr="0056639C">
        <w:rPr>
          <w:sz w:val="20"/>
          <w:szCs w:val="20"/>
        </w:rPr>
        <w:t xml:space="preserve"> The variables that were flagged and entered into matching are reported in full in Table 2 of the main manuscript with their pre- and post-match standardized mean differences. </w:t>
      </w:r>
      <w:r w:rsidR="005F5E3E" w:rsidRPr="0056639C">
        <w:rPr>
          <w:sz w:val="20"/>
          <w:szCs w:val="20"/>
        </w:rPr>
        <w:t xml:space="preserve">All outcome estimates—risk difference, risk ratio, and odds ratio with their associated 95% confidence intervals and p-values—were calculated directly from event counts in the propensity-score matched cohorts using the </w:t>
      </w:r>
      <w:proofErr w:type="spellStart"/>
      <w:r w:rsidR="005F5E3E" w:rsidRPr="0056639C">
        <w:rPr>
          <w:sz w:val="20"/>
          <w:szCs w:val="20"/>
        </w:rPr>
        <w:t>TriNetX</w:t>
      </w:r>
      <w:proofErr w:type="spellEnd"/>
      <w:r w:rsidR="005F5E3E" w:rsidRPr="0056639C">
        <w:rPr>
          <w:sz w:val="20"/>
          <w:szCs w:val="20"/>
        </w:rPr>
        <w:t xml:space="preserve"> analytics module. The platform computes the risk difference and its 95% confidence interval using unconditional (asymptotic) standard-error methods for the difference of two independent proportions, and computes risk ratio, odds ratio, and their corresponding 95% confidence intervals from the matched-cohort 2 × 2 contingency table using the standard large-sample estimators implemented in the platform. P-values for the comparison of incidence proportions are derived from the corresponding large-sample test statistic for two independent proportions.</w:t>
      </w:r>
      <w:r w:rsidR="00015EF0" w:rsidRPr="00545FD4">
        <w:rPr>
          <w:sz w:val="20"/>
          <w:szCs w:val="20"/>
          <w:vertAlign w:val="superscript"/>
        </w:rPr>
        <w:t>15</w:t>
      </w:r>
      <w:r w:rsidR="005F5E3E" w:rsidRPr="0056639C">
        <w:rPr>
          <w:sz w:val="20"/>
          <w:szCs w:val="20"/>
        </w:rPr>
        <w:t xml:space="preserve"> </w:t>
      </w:r>
      <w:r w:rsidRPr="0056639C">
        <w:rPr>
          <w:sz w:val="20"/>
          <w:szCs w:val="20"/>
        </w:rPr>
        <w:t>The incidence of intraoperative awareness was compared between the diabetic and non-diabetic cohorts</w:t>
      </w:r>
      <w:r w:rsidR="00816342" w:rsidRPr="0056639C">
        <w:rPr>
          <w:sz w:val="20"/>
          <w:szCs w:val="20"/>
        </w:rPr>
        <w:t>. Baseline covariate balance between matched cohorts was assessed using standardized mean differences (SMD), as p-values from chi-square or t-tests can be misleading in very large samples.</w:t>
      </w:r>
      <w:r w:rsidR="00FA4F00" w:rsidRPr="0056639C">
        <w:rPr>
          <w:sz w:val="20"/>
          <w:szCs w:val="20"/>
          <w:vertAlign w:val="superscript"/>
        </w:rPr>
        <w:t>1</w:t>
      </w:r>
      <w:r w:rsidR="00015EF0" w:rsidRPr="0056639C">
        <w:rPr>
          <w:sz w:val="20"/>
          <w:szCs w:val="20"/>
          <w:vertAlign w:val="superscript"/>
        </w:rPr>
        <w:t>6</w:t>
      </w:r>
      <w:r w:rsidR="00816342" w:rsidRPr="0056639C">
        <w:rPr>
          <w:sz w:val="20"/>
          <w:szCs w:val="20"/>
        </w:rPr>
        <w:t xml:space="preserve"> An SMD &lt;0.1 was considered indicative of adequate balance.</w:t>
      </w:r>
      <w:r w:rsidR="00FA4F00" w:rsidRPr="0056639C">
        <w:rPr>
          <w:sz w:val="20"/>
          <w:szCs w:val="20"/>
          <w:vertAlign w:val="superscript"/>
        </w:rPr>
        <w:t>1</w:t>
      </w:r>
      <w:r w:rsidR="00015EF0" w:rsidRPr="0056639C">
        <w:rPr>
          <w:sz w:val="20"/>
          <w:szCs w:val="20"/>
          <w:vertAlign w:val="superscript"/>
        </w:rPr>
        <w:t>7</w:t>
      </w:r>
      <w:r w:rsidR="00816342" w:rsidRPr="0056639C">
        <w:rPr>
          <w:sz w:val="20"/>
          <w:szCs w:val="20"/>
        </w:rPr>
        <w:t xml:space="preserve"> For outcome analyses, statistical significance and effect size were evaluated using risk differences, risk ratios, and odds ratios. All statistical analyses were conducted using the </w:t>
      </w:r>
      <w:proofErr w:type="spellStart"/>
      <w:r w:rsidR="00816342" w:rsidRPr="0056639C">
        <w:rPr>
          <w:sz w:val="20"/>
          <w:szCs w:val="20"/>
        </w:rPr>
        <w:t>TriNetX</w:t>
      </w:r>
      <w:proofErr w:type="spellEnd"/>
      <w:r w:rsidR="00816342" w:rsidRPr="0056639C">
        <w:rPr>
          <w:sz w:val="20"/>
          <w:szCs w:val="20"/>
        </w:rPr>
        <w:t xml:space="preserve"> analytics platform, with statistical significance defined as a p-value &lt;0.05.</w:t>
      </w:r>
      <w:r w:rsidRPr="0056639C">
        <w:rPr>
          <w:sz w:val="20"/>
          <w:szCs w:val="20"/>
        </w:rPr>
        <w:t xml:space="preserve"> This study was conducted and reported in accordance with the STROBE (Strengthening the Reporting of Observational Studies in Epidemiology) guidelines for observational cohort studies.</w:t>
      </w:r>
    </w:p>
    <w:p w14:paraId="34785C73" w14:textId="46032700" w:rsidR="00A07745" w:rsidRPr="0056639C" w:rsidRDefault="00A07745">
      <w:pPr>
        <w:spacing w:line="360" w:lineRule="auto"/>
        <w:rPr>
          <w:b/>
          <w:sz w:val="20"/>
          <w:szCs w:val="20"/>
        </w:rPr>
      </w:pPr>
    </w:p>
    <w:p w14:paraId="087F7508" w14:textId="77777777" w:rsidR="00A07745" w:rsidRPr="0056639C" w:rsidRDefault="00000000">
      <w:pPr>
        <w:spacing w:line="360" w:lineRule="auto"/>
        <w:rPr>
          <w:sz w:val="20"/>
          <w:szCs w:val="20"/>
        </w:rPr>
      </w:pPr>
      <w:r w:rsidRPr="0056639C">
        <w:rPr>
          <w:b/>
          <w:sz w:val="20"/>
          <w:szCs w:val="20"/>
        </w:rPr>
        <w:t>RESULTS</w:t>
      </w:r>
    </w:p>
    <w:p w14:paraId="1CB971CD" w14:textId="77777777" w:rsidR="00A07745" w:rsidRPr="0056639C" w:rsidRDefault="00A07745">
      <w:pPr>
        <w:spacing w:line="360" w:lineRule="auto"/>
        <w:rPr>
          <w:sz w:val="20"/>
          <w:szCs w:val="20"/>
        </w:rPr>
      </w:pPr>
    </w:p>
    <w:p w14:paraId="114F7A4D" w14:textId="040283AB" w:rsidR="00A07745" w:rsidRPr="0056639C" w:rsidRDefault="00000000">
      <w:pPr>
        <w:spacing w:line="360" w:lineRule="auto"/>
        <w:rPr>
          <w:sz w:val="20"/>
          <w:szCs w:val="20"/>
        </w:rPr>
      </w:pPr>
      <w:r w:rsidRPr="0056639C">
        <w:rPr>
          <w:sz w:val="20"/>
          <w:szCs w:val="20"/>
        </w:rPr>
        <w:t xml:space="preserve">Table 1 summarizes the baseline demographic characteristics of the study population before and after propensity-score matching. </w:t>
      </w:r>
      <w:r w:rsidR="00C51000" w:rsidRPr="0056639C">
        <w:rPr>
          <w:sz w:val="20"/>
          <w:szCs w:val="20"/>
        </w:rPr>
        <w:t xml:space="preserve">The age at index for diabetic cohort was </w:t>
      </w:r>
      <w:r w:rsidRPr="0056639C">
        <w:rPr>
          <w:sz w:val="20"/>
          <w:szCs w:val="20"/>
        </w:rPr>
        <w:t xml:space="preserve">57.1 ± 15.1 years, </w:t>
      </w:r>
      <w:r w:rsidR="00C51000" w:rsidRPr="0056639C">
        <w:rPr>
          <w:sz w:val="20"/>
          <w:szCs w:val="20"/>
        </w:rPr>
        <w:t xml:space="preserve">whereas it </w:t>
      </w:r>
      <w:r w:rsidR="000922FE" w:rsidRPr="0056639C">
        <w:rPr>
          <w:sz w:val="20"/>
          <w:szCs w:val="20"/>
        </w:rPr>
        <w:t>wa</w:t>
      </w:r>
      <w:r w:rsidR="00C51000" w:rsidRPr="0056639C">
        <w:rPr>
          <w:sz w:val="20"/>
          <w:szCs w:val="20"/>
        </w:rPr>
        <w:t>s</w:t>
      </w:r>
      <w:r w:rsidRPr="0056639C">
        <w:rPr>
          <w:sz w:val="20"/>
          <w:szCs w:val="20"/>
        </w:rPr>
        <w:t xml:space="preserve"> </w:t>
      </w:r>
      <w:r w:rsidR="00C51000" w:rsidRPr="0056639C">
        <w:rPr>
          <w:sz w:val="20"/>
          <w:szCs w:val="20"/>
        </w:rPr>
        <w:lastRenderedPageBreak/>
        <w:t>57.4</w:t>
      </w:r>
      <w:r w:rsidRPr="0056639C">
        <w:rPr>
          <w:sz w:val="20"/>
          <w:szCs w:val="20"/>
        </w:rPr>
        <w:t xml:space="preserve"> ±</w:t>
      </w:r>
      <w:r w:rsidR="00C51000" w:rsidRPr="0056639C">
        <w:rPr>
          <w:sz w:val="20"/>
          <w:szCs w:val="20"/>
        </w:rPr>
        <w:t>15.6</w:t>
      </w:r>
      <w:r w:rsidRPr="0056639C">
        <w:rPr>
          <w:sz w:val="20"/>
          <w:szCs w:val="20"/>
        </w:rPr>
        <w:t xml:space="preserve"> years in the non-diabetic cohort. Gender distribution was similar between groups, with females comprising 58.</w:t>
      </w:r>
      <w:r w:rsidR="00C51000" w:rsidRPr="0056639C">
        <w:rPr>
          <w:sz w:val="20"/>
          <w:szCs w:val="20"/>
        </w:rPr>
        <w:t>304</w:t>
      </w:r>
      <w:r w:rsidRPr="0056639C">
        <w:rPr>
          <w:sz w:val="20"/>
          <w:szCs w:val="20"/>
        </w:rPr>
        <w:t>% of the diabetic cohort and 5</w:t>
      </w:r>
      <w:r w:rsidR="00C51000" w:rsidRPr="0056639C">
        <w:rPr>
          <w:sz w:val="20"/>
          <w:szCs w:val="20"/>
        </w:rPr>
        <w:t>8.335</w:t>
      </w:r>
      <w:r w:rsidRPr="0056639C">
        <w:rPr>
          <w:sz w:val="20"/>
          <w:szCs w:val="20"/>
        </w:rPr>
        <w:t>% of the non-diabetic cohort. Racial and ethnic distributions were also comparable, with the majority of patients in both groups identifying as "Not Hispanic or Latino" (75.</w:t>
      </w:r>
      <w:r w:rsidR="00C51000" w:rsidRPr="0056639C">
        <w:rPr>
          <w:sz w:val="20"/>
          <w:szCs w:val="20"/>
        </w:rPr>
        <w:t>058</w:t>
      </w:r>
      <w:r w:rsidRPr="0056639C">
        <w:rPr>
          <w:sz w:val="20"/>
          <w:szCs w:val="20"/>
        </w:rPr>
        <w:t>% in the diabetic cohort vs. 75.</w:t>
      </w:r>
      <w:r w:rsidR="00C51000" w:rsidRPr="0056639C">
        <w:rPr>
          <w:sz w:val="20"/>
          <w:szCs w:val="20"/>
        </w:rPr>
        <w:t>574</w:t>
      </w:r>
      <w:r w:rsidRPr="0056639C">
        <w:rPr>
          <w:sz w:val="20"/>
          <w:szCs w:val="20"/>
        </w:rPr>
        <w:t>% in the non-diabetic cohort) and "White" (7</w:t>
      </w:r>
      <w:r w:rsidR="00C51000" w:rsidRPr="0056639C">
        <w:rPr>
          <w:sz w:val="20"/>
          <w:szCs w:val="20"/>
        </w:rPr>
        <w:t>0.78</w:t>
      </w:r>
      <w:r w:rsidRPr="0056639C">
        <w:rPr>
          <w:sz w:val="20"/>
          <w:szCs w:val="20"/>
        </w:rPr>
        <w:t>% vs. 7</w:t>
      </w:r>
      <w:r w:rsidR="00C51000" w:rsidRPr="0056639C">
        <w:rPr>
          <w:sz w:val="20"/>
          <w:szCs w:val="20"/>
        </w:rPr>
        <w:t>2.439</w:t>
      </w:r>
      <w:r w:rsidRPr="0056639C">
        <w:rPr>
          <w:sz w:val="20"/>
          <w:szCs w:val="20"/>
        </w:rPr>
        <w:t>%). All demographic variables were well balanced between cohorts</w:t>
      </w:r>
      <w:r w:rsidR="00C51000" w:rsidRPr="0056639C">
        <w:rPr>
          <w:sz w:val="20"/>
          <w:szCs w:val="20"/>
        </w:rPr>
        <w:t>.</w:t>
      </w:r>
    </w:p>
    <w:p w14:paraId="3113919F" w14:textId="77777777" w:rsidR="00A07745" w:rsidRPr="0056639C" w:rsidRDefault="00A07745">
      <w:pPr>
        <w:spacing w:line="360" w:lineRule="auto"/>
        <w:rPr>
          <w:sz w:val="20"/>
          <w:szCs w:val="20"/>
        </w:rPr>
      </w:pPr>
    </w:p>
    <w:p w14:paraId="56C65CB3" w14:textId="6F81DBC2" w:rsidR="00A07745" w:rsidRPr="0056639C" w:rsidRDefault="00000000">
      <w:pPr>
        <w:spacing w:line="360" w:lineRule="auto"/>
        <w:rPr>
          <w:sz w:val="20"/>
          <w:szCs w:val="20"/>
        </w:rPr>
      </w:pPr>
      <w:r w:rsidRPr="0056639C">
        <w:rPr>
          <w:sz w:val="20"/>
          <w:szCs w:val="20"/>
        </w:rPr>
        <w:t>To isolate DM as an independent risk factor for intraoperative awareness, propensity-score matching also accounted for clinical comorbidities between cohorts. Before matching, there were significant imbalances in several diagnostic categories, including neoplasms, infectious diseases, skin and subcutaneous tissue disorders, and blood-related disorders. Following matching, these differences were substantially minimized or eliminated, with post-match distributions in categories such as neoplasms, skin disorders, infectious diseases, diseases of the blood, and eye diseases nearly identical across cohorts. This matching strategy effectively reduced the influence of non-DM-related comorbidities, allowing for a cleaner assessment of DM as an independent variable. (Table 2)</w:t>
      </w:r>
      <w:r w:rsidR="00A453DA" w:rsidRPr="0056639C">
        <w:rPr>
          <w:sz w:val="20"/>
          <w:szCs w:val="20"/>
        </w:rPr>
        <w:t xml:space="preserve"> </w:t>
      </w:r>
    </w:p>
    <w:p w14:paraId="12DF1400" w14:textId="77777777" w:rsidR="00A07745" w:rsidRPr="0056639C" w:rsidRDefault="00A07745">
      <w:pPr>
        <w:spacing w:line="360" w:lineRule="auto"/>
        <w:rPr>
          <w:sz w:val="20"/>
          <w:szCs w:val="20"/>
        </w:rPr>
      </w:pPr>
    </w:p>
    <w:p w14:paraId="7FDABBB8" w14:textId="4F5F3593" w:rsidR="00816342" w:rsidRPr="0056639C" w:rsidRDefault="00000000">
      <w:pPr>
        <w:spacing w:line="360" w:lineRule="auto"/>
        <w:rPr>
          <w:sz w:val="20"/>
          <w:szCs w:val="20"/>
        </w:rPr>
      </w:pPr>
      <w:r w:rsidRPr="0056639C">
        <w:rPr>
          <w:sz w:val="20"/>
          <w:szCs w:val="20"/>
        </w:rPr>
        <w:t>In total, 1,</w:t>
      </w:r>
      <w:r w:rsidR="00C51000" w:rsidRPr="0056639C">
        <w:rPr>
          <w:sz w:val="20"/>
          <w:szCs w:val="20"/>
        </w:rPr>
        <w:t>346,355</w:t>
      </w:r>
      <w:r w:rsidRPr="0056639C">
        <w:rPr>
          <w:sz w:val="20"/>
          <w:szCs w:val="20"/>
        </w:rPr>
        <w:t xml:space="preserve"> patients who underwent general anesthesia were identified for inclusion in this analysis. After propensity-score matching, two balanced cohorts were established, each comprising 1</w:t>
      </w:r>
      <w:r w:rsidR="00C51000" w:rsidRPr="0056639C">
        <w:rPr>
          <w:sz w:val="20"/>
          <w:szCs w:val="20"/>
        </w:rPr>
        <w:t>89,787</w:t>
      </w:r>
      <w:r w:rsidRPr="0056639C">
        <w:rPr>
          <w:sz w:val="20"/>
          <w:szCs w:val="20"/>
        </w:rPr>
        <w:t xml:space="preserve"> patients with and without DM, respectively. </w:t>
      </w:r>
      <w:r w:rsidR="00DC5C49" w:rsidRPr="0056639C">
        <w:rPr>
          <w:sz w:val="20"/>
          <w:szCs w:val="20"/>
        </w:rPr>
        <w:t xml:space="preserve">As shown in Figure </w:t>
      </w:r>
      <w:r w:rsidR="008005DA">
        <w:rPr>
          <w:sz w:val="20"/>
          <w:szCs w:val="20"/>
        </w:rPr>
        <w:t>2</w:t>
      </w:r>
      <w:r w:rsidR="00DC5C49" w:rsidRPr="0056639C">
        <w:rPr>
          <w:sz w:val="20"/>
          <w:szCs w:val="20"/>
        </w:rPr>
        <w:t>, i</w:t>
      </w:r>
      <w:r w:rsidRPr="0056639C">
        <w:rPr>
          <w:sz w:val="20"/>
          <w:szCs w:val="20"/>
        </w:rPr>
        <w:t xml:space="preserve">ntraoperative awareness under general anesthesia was identified in 52 patients (0.027%) in the DM cohort and </w:t>
      </w:r>
      <w:r w:rsidR="00C51000" w:rsidRPr="0056639C">
        <w:rPr>
          <w:sz w:val="20"/>
          <w:szCs w:val="20"/>
        </w:rPr>
        <w:t>32</w:t>
      </w:r>
      <w:r w:rsidRPr="0056639C">
        <w:rPr>
          <w:sz w:val="20"/>
          <w:szCs w:val="20"/>
        </w:rPr>
        <w:t xml:space="preserve"> patients (0.01</w:t>
      </w:r>
      <w:r w:rsidR="00C51000" w:rsidRPr="0056639C">
        <w:rPr>
          <w:sz w:val="20"/>
          <w:szCs w:val="20"/>
        </w:rPr>
        <w:t>7</w:t>
      </w:r>
      <w:r w:rsidRPr="0056639C">
        <w:rPr>
          <w:sz w:val="20"/>
          <w:szCs w:val="20"/>
        </w:rPr>
        <w:t>%) in the non-DM cohort, corresponding to an absolute risk difference of 0.01</w:t>
      </w:r>
      <w:r w:rsidR="00C51000" w:rsidRPr="0056639C">
        <w:rPr>
          <w:sz w:val="20"/>
          <w:szCs w:val="20"/>
        </w:rPr>
        <w:t>1</w:t>
      </w:r>
      <w:r w:rsidRPr="0056639C">
        <w:rPr>
          <w:sz w:val="20"/>
          <w:szCs w:val="20"/>
        </w:rPr>
        <w:t>% (95% CI: 0.00</w:t>
      </w:r>
      <w:r w:rsidR="00C51000" w:rsidRPr="0056639C">
        <w:rPr>
          <w:sz w:val="20"/>
          <w:szCs w:val="20"/>
        </w:rPr>
        <w:t>1</w:t>
      </w:r>
      <w:r w:rsidRPr="0056639C">
        <w:rPr>
          <w:sz w:val="20"/>
          <w:szCs w:val="20"/>
        </w:rPr>
        <w:t>%–0.02</w:t>
      </w:r>
      <w:r w:rsidR="00FC2C5B" w:rsidRPr="0056639C">
        <w:rPr>
          <w:sz w:val="20"/>
          <w:szCs w:val="20"/>
        </w:rPr>
        <w:t>0</w:t>
      </w:r>
      <w:r w:rsidRPr="0056639C">
        <w:rPr>
          <w:sz w:val="20"/>
          <w:szCs w:val="20"/>
        </w:rPr>
        <w:t>%, p = 0.0</w:t>
      </w:r>
      <w:r w:rsidR="00C51000" w:rsidRPr="0056639C">
        <w:rPr>
          <w:sz w:val="20"/>
          <w:szCs w:val="20"/>
        </w:rPr>
        <w:t>291</w:t>
      </w:r>
      <w:r w:rsidRPr="0056639C">
        <w:rPr>
          <w:sz w:val="20"/>
          <w:szCs w:val="20"/>
        </w:rPr>
        <w:t>). The risk ratio and odds ratio were both 1.</w:t>
      </w:r>
      <w:r w:rsidR="00C51000" w:rsidRPr="0056639C">
        <w:rPr>
          <w:sz w:val="20"/>
          <w:szCs w:val="20"/>
        </w:rPr>
        <w:t>625</w:t>
      </w:r>
      <w:r w:rsidRPr="0056639C">
        <w:rPr>
          <w:sz w:val="20"/>
          <w:szCs w:val="20"/>
        </w:rPr>
        <w:t xml:space="preserve"> (95% CI: 1.</w:t>
      </w:r>
      <w:r w:rsidR="00C51000" w:rsidRPr="0056639C">
        <w:rPr>
          <w:sz w:val="20"/>
          <w:szCs w:val="20"/>
        </w:rPr>
        <w:t>046</w:t>
      </w:r>
      <w:r w:rsidRPr="0056639C">
        <w:rPr>
          <w:sz w:val="20"/>
          <w:szCs w:val="20"/>
        </w:rPr>
        <w:t>–2.</w:t>
      </w:r>
      <w:r w:rsidR="00C51000" w:rsidRPr="0056639C">
        <w:rPr>
          <w:sz w:val="20"/>
          <w:szCs w:val="20"/>
        </w:rPr>
        <w:t xml:space="preserve">524), </w:t>
      </w:r>
      <w:r w:rsidRPr="0056639C">
        <w:rPr>
          <w:sz w:val="20"/>
          <w:szCs w:val="20"/>
        </w:rPr>
        <w:t>indicating increased risk of intraoperative awareness in patients with DM compared to those without.</w:t>
      </w:r>
      <w:r w:rsidR="00A453DA" w:rsidRPr="0056639C">
        <w:rPr>
          <w:sz w:val="20"/>
          <w:szCs w:val="20"/>
        </w:rPr>
        <w:t xml:space="preserve"> </w:t>
      </w:r>
      <w:r w:rsidR="006C181E" w:rsidRPr="0056639C">
        <w:rPr>
          <w:sz w:val="20"/>
          <w:szCs w:val="20"/>
        </w:rPr>
        <w:t>To address hidden confounder</w:t>
      </w:r>
      <w:r w:rsidR="005F6CA0">
        <w:rPr>
          <w:sz w:val="20"/>
          <w:szCs w:val="20"/>
        </w:rPr>
        <w:t>s</w:t>
      </w:r>
      <w:r w:rsidR="006C181E" w:rsidRPr="0056639C">
        <w:rPr>
          <w:sz w:val="20"/>
          <w:szCs w:val="20"/>
        </w:rPr>
        <w:t xml:space="preserve">, an E-value analysis was carried out, yielding 2.63 as the point estimate based on the RR, and 1.27 as the lower bound of the confidence interval. </w:t>
      </w:r>
      <w:r w:rsidR="00F777C3" w:rsidRPr="0056639C">
        <w:rPr>
          <w:sz w:val="20"/>
          <w:szCs w:val="20"/>
        </w:rPr>
        <w:t>Baseline characteristics were well balanced after propensity matching, with all standardized mean differences &lt; 0.1 (Table 1). For comorbidity categories, most non-endocrine diagnostic groups were also well balanced, whereas larger standardized mean differences persisted for the broad endocrine/metabolic, circulatory, and genitourinary categories, reflecting the expected higher burden of diabetes-related conditions in the diabetic cohort (Table 2).</w:t>
      </w:r>
      <w:r w:rsidR="005C5844" w:rsidRPr="0056639C">
        <w:rPr>
          <w:sz w:val="20"/>
          <w:szCs w:val="20"/>
        </w:rPr>
        <w:t xml:space="preserve"> The full</w:t>
      </w:r>
      <w:r w:rsidR="005F6CA0">
        <w:rPr>
          <w:sz w:val="20"/>
          <w:szCs w:val="20"/>
        </w:rPr>
        <w:t xml:space="preserve"> </w:t>
      </w:r>
      <w:r w:rsidR="005C5844" w:rsidRPr="0056639C">
        <w:rPr>
          <w:sz w:val="20"/>
          <w:szCs w:val="20"/>
        </w:rPr>
        <w:t>pre</w:t>
      </w:r>
      <w:r w:rsidR="005F6CA0">
        <w:rPr>
          <w:sz w:val="20"/>
          <w:szCs w:val="20"/>
        </w:rPr>
        <w:t>-</w:t>
      </w:r>
      <w:r w:rsidR="005C5844" w:rsidRPr="0056639C">
        <w:rPr>
          <w:sz w:val="20"/>
          <w:szCs w:val="20"/>
        </w:rPr>
        <w:t xml:space="preserve">matching distribution across all CPT procedure categories and </w:t>
      </w:r>
      <w:r w:rsidR="009503CE" w:rsidRPr="0056639C">
        <w:rPr>
          <w:sz w:val="20"/>
          <w:szCs w:val="20"/>
        </w:rPr>
        <w:t>Veteran</w:t>
      </w:r>
      <w:r w:rsidR="005F6CA0">
        <w:rPr>
          <w:sz w:val="20"/>
          <w:szCs w:val="20"/>
        </w:rPr>
        <w:t>s</w:t>
      </w:r>
      <w:r w:rsidR="009503CE" w:rsidRPr="0056639C">
        <w:rPr>
          <w:sz w:val="20"/>
          <w:szCs w:val="20"/>
        </w:rPr>
        <w:t xml:space="preserve"> Affairs (VA) drug</w:t>
      </w:r>
      <w:r w:rsidR="005C5844" w:rsidRPr="0056639C">
        <w:rPr>
          <w:sz w:val="20"/>
          <w:szCs w:val="20"/>
        </w:rPr>
        <w:t xml:space="preserve"> </w:t>
      </w:r>
      <w:r w:rsidR="009503CE" w:rsidRPr="0056639C">
        <w:rPr>
          <w:sz w:val="20"/>
          <w:szCs w:val="20"/>
        </w:rPr>
        <w:t>classification system</w:t>
      </w:r>
      <w:r w:rsidR="005C5844" w:rsidRPr="0056639C">
        <w:rPr>
          <w:sz w:val="20"/>
          <w:szCs w:val="20"/>
        </w:rPr>
        <w:t xml:space="preserve"> that </w:t>
      </w:r>
      <w:proofErr w:type="spellStart"/>
      <w:r w:rsidR="005C5844" w:rsidRPr="0056639C">
        <w:rPr>
          <w:sz w:val="20"/>
          <w:szCs w:val="20"/>
        </w:rPr>
        <w:t>TriNetX</w:t>
      </w:r>
      <w:proofErr w:type="spellEnd"/>
      <w:r w:rsidR="005C5844" w:rsidRPr="0056639C">
        <w:rPr>
          <w:sz w:val="20"/>
          <w:szCs w:val="20"/>
        </w:rPr>
        <w:t xml:space="preserve"> compared but did not select for matching are included in Supplementary Table S1. </w:t>
      </w:r>
    </w:p>
    <w:p w14:paraId="401C1649" w14:textId="77777777" w:rsidR="00A07745" w:rsidRPr="0056639C" w:rsidRDefault="00A07745">
      <w:pPr>
        <w:spacing w:line="360" w:lineRule="auto"/>
        <w:rPr>
          <w:sz w:val="20"/>
          <w:szCs w:val="20"/>
        </w:rPr>
      </w:pPr>
    </w:p>
    <w:p w14:paraId="1E093450" w14:textId="12971715" w:rsidR="00816342" w:rsidRPr="0056639C" w:rsidRDefault="00000000">
      <w:pPr>
        <w:spacing w:line="360" w:lineRule="auto"/>
        <w:rPr>
          <w:sz w:val="20"/>
          <w:szCs w:val="20"/>
        </w:rPr>
      </w:pPr>
      <w:r w:rsidRPr="0056639C">
        <w:rPr>
          <w:sz w:val="20"/>
          <w:szCs w:val="20"/>
        </w:rPr>
        <w:t xml:space="preserve">These findings demonstrate a robust and statistically significant association between DM and an increased risk of intraoperative awareness under general anesthesia, even after rigorous control for demographic and clinical confounders (Figure </w:t>
      </w:r>
      <w:r w:rsidR="008005DA">
        <w:rPr>
          <w:sz w:val="20"/>
          <w:szCs w:val="20"/>
        </w:rPr>
        <w:t>3</w:t>
      </w:r>
      <w:r w:rsidRPr="0056639C">
        <w:rPr>
          <w:sz w:val="20"/>
          <w:szCs w:val="20"/>
        </w:rPr>
        <w:t xml:space="preserve"> and Table 2).</w:t>
      </w:r>
    </w:p>
    <w:p w14:paraId="23C4A7CA" w14:textId="77777777" w:rsidR="00816342" w:rsidRPr="0056639C" w:rsidRDefault="00816342">
      <w:pPr>
        <w:spacing w:line="360" w:lineRule="auto"/>
        <w:rPr>
          <w:b/>
          <w:sz w:val="20"/>
          <w:szCs w:val="20"/>
        </w:rPr>
      </w:pPr>
    </w:p>
    <w:p w14:paraId="5AE20BF6" w14:textId="77777777" w:rsidR="00A07745" w:rsidRPr="0056639C" w:rsidRDefault="00000000">
      <w:pPr>
        <w:spacing w:line="360" w:lineRule="auto"/>
        <w:rPr>
          <w:b/>
          <w:sz w:val="20"/>
          <w:szCs w:val="20"/>
        </w:rPr>
      </w:pPr>
      <w:r w:rsidRPr="0056639C">
        <w:rPr>
          <w:b/>
          <w:sz w:val="20"/>
          <w:szCs w:val="20"/>
        </w:rPr>
        <w:t>DISCUSSION</w:t>
      </w:r>
    </w:p>
    <w:p w14:paraId="2CF1B17D" w14:textId="77777777" w:rsidR="00A07745" w:rsidRPr="0056639C" w:rsidRDefault="00A07745">
      <w:pPr>
        <w:spacing w:line="360" w:lineRule="auto"/>
        <w:rPr>
          <w:sz w:val="20"/>
          <w:szCs w:val="20"/>
        </w:rPr>
      </w:pPr>
    </w:p>
    <w:p w14:paraId="23D0D6FF" w14:textId="495D2977" w:rsidR="000922FE" w:rsidRPr="0056639C" w:rsidRDefault="00000000" w:rsidP="000922FE">
      <w:pPr>
        <w:spacing w:line="360" w:lineRule="auto"/>
        <w:rPr>
          <w:sz w:val="20"/>
          <w:szCs w:val="20"/>
        </w:rPr>
      </w:pPr>
      <w:r w:rsidRPr="0056639C">
        <w:rPr>
          <w:sz w:val="20"/>
          <w:szCs w:val="20"/>
        </w:rPr>
        <w:t xml:space="preserve">This study evaluated the association between DM and the risk of intraoperative awareness during general anesthesia, demonstrating that DM is associated with a significantly increased risk. </w:t>
      </w:r>
      <w:r w:rsidR="000922FE" w:rsidRPr="0056639C">
        <w:rPr>
          <w:sz w:val="20"/>
          <w:szCs w:val="20"/>
        </w:rPr>
        <w:t xml:space="preserve">As shown in Figure </w:t>
      </w:r>
      <w:r w:rsidR="008005DA">
        <w:rPr>
          <w:sz w:val="20"/>
          <w:szCs w:val="20"/>
        </w:rPr>
        <w:t>3</w:t>
      </w:r>
      <w:r w:rsidR="000922FE" w:rsidRPr="0056639C">
        <w:rPr>
          <w:sz w:val="20"/>
          <w:szCs w:val="20"/>
        </w:rPr>
        <w:t>, the risk ratio for intraoperative awareness in diabetic patients was 1.625 (95% CI: 1.046–2.524), with a corresponding odds ratio of 1.625 (95% CI: 1.046–2.524; p = 0.0291). While this represents a 62.5% higher relative likelihood of intraoperative awareness among patients with diabetes, the absolute difference between groups was minimal—0.027% in the diabetic cohort compared to 0.017% in the non-diabetic cohort, corresponding to an absolute risk difference of 0.011% (95% CI: 0.001%–0.02</w:t>
      </w:r>
      <w:r w:rsidR="00FC2C5B" w:rsidRPr="0056639C">
        <w:rPr>
          <w:sz w:val="20"/>
          <w:szCs w:val="20"/>
        </w:rPr>
        <w:t>0</w:t>
      </w:r>
      <w:r w:rsidR="000922FE" w:rsidRPr="0056639C">
        <w:rPr>
          <w:sz w:val="20"/>
          <w:szCs w:val="20"/>
        </w:rPr>
        <w:t xml:space="preserve">%, p = 0.0291). </w:t>
      </w:r>
    </w:p>
    <w:p w14:paraId="2C1DF670" w14:textId="77777777" w:rsidR="00C54D24" w:rsidRPr="0056639C" w:rsidRDefault="00C54D24" w:rsidP="000922FE">
      <w:pPr>
        <w:spacing w:line="360" w:lineRule="auto"/>
        <w:rPr>
          <w:sz w:val="20"/>
          <w:szCs w:val="20"/>
        </w:rPr>
      </w:pPr>
    </w:p>
    <w:p w14:paraId="24172BAF" w14:textId="60CA58E5" w:rsidR="00C54D24" w:rsidRPr="0056639C" w:rsidRDefault="00BD1AFE" w:rsidP="000922FE">
      <w:pPr>
        <w:spacing w:line="360" w:lineRule="auto"/>
        <w:rPr>
          <w:sz w:val="20"/>
          <w:szCs w:val="20"/>
        </w:rPr>
      </w:pPr>
      <w:r w:rsidRPr="0056639C">
        <w:rPr>
          <w:sz w:val="20"/>
          <w:szCs w:val="20"/>
        </w:rPr>
        <w:t>In real life context, t</w:t>
      </w:r>
      <w:r w:rsidR="00C54D24" w:rsidRPr="0056639C">
        <w:rPr>
          <w:sz w:val="20"/>
          <w:szCs w:val="20"/>
        </w:rPr>
        <w:t xml:space="preserve">he absolute risk difference of 0.011% corresponds to 11 additional cases per 100,000 anesthetic cases, yielding a </w:t>
      </w:r>
      <w:r w:rsidR="00825FE4" w:rsidRPr="0056639C">
        <w:rPr>
          <w:sz w:val="20"/>
          <w:szCs w:val="20"/>
        </w:rPr>
        <w:t>n</w:t>
      </w:r>
      <w:r w:rsidR="00C54D24" w:rsidRPr="0056639C">
        <w:rPr>
          <w:sz w:val="20"/>
          <w:szCs w:val="20"/>
        </w:rPr>
        <w:t xml:space="preserve">umber </w:t>
      </w:r>
      <w:r w:rsidR="00825FE4" w:rsidRPr="0056639C">
        <w:rPr>
          <w:sz w:val="20"/>
          <w:szCs w:val="20"/>
        </w:rPr>
        <w:t>n</w:t>
      </w:r>
      <w:r w:rsidR="00C54D24" w:rsidRPr="0056639C">
        <w:rPr>
          <w:sz w:val="20"/>
          <w:szCs w:val="20"/>
        </w:rPr>
        <w:t xml:space="preserve">eeded to </w:t>
      </w:r>
      <w:r w:rsidR="00825FE4" w:rsidRPr="0056639C">
        <w:rPr>
          <w:sz w:val="20"/>
          <w:szCs w:val="20"/>
        </w:rPr>
        <w:t>h</w:t>
      </w:r>
      <w:r w:rsidR="00C54D24" w:rsidRPr="0056639C">
        <w:rPr>
          <w:sz w:val="20"/>
          <w:szCs w:val="20"/>
        </w:rPr>
        <w:t xml:space="preserve">arm (NNH) of roughly 9,091. This contextualizes the clinical magnitude of the finding: one additional case of intraoperative awareness would be expected for every 9,091 diabetic patients receiving general anesthesia. To provide comparison, </w:t>
      </w:r>
      <w:r w:rsidR="00E44734" w:rsidRPr="0056639C">
        <w:rPr>
          <w:sz w:val="20"/>
          <w:szCs w:val="20"/>
        </w:rPr>
        <w:t xml:space="preserve">this absolute increase remains less frequent as compared to </w:t>
      </w:r>
      <w:r w:rsidR="00C54D24" w:rsidRPr="0056639C">
        <w:rPr>
          <w:sz w:val="20"/>
          <w:szCs w:val="20"/>
        </w:rPr>
        <w:t xml:space="preserve">the risk of having perioperative </w:t>
      </w:r>
      <w:r w:rsidR="00E44734" w:rsidRPr="0056639C">
        <w:rPr>
          <w:sz w:val="20"/>
          <w:szCs w:val="20"/>
        </w:rPr>
        <w:t>anaphylaxis</w:t>
      </w:r>
      <w:r w:rsidRPr="0056639C">
        <w:rPr>
          <w:sz w:val="20"/>
          <w:szCs w:val="20"/>
        </w:rPr>
        <w:t xml:space="preserve"> and failed intubation</w:t>
      </w:r>
      <w:r w:rsidR="00E44734" w:rsidRPr="0056639C">
        <w:rPr>
          <w:sz w:val="20"/>
          <w:szCs w:val="20"/>
        </w:rPr>
        <w:t xml:space="preserve">, which </w:t>
      </w:r>
      <w:r w:rsidR="005D5108">
        <w:rPr>
          <w:sz w:val="20"/>
          <w:szCs w:val="20"/>
        </w:rPr>
        <w:t>are</w:t>
      </w:r>
      <w:r w:rsidR="00C54D24" w:rsidRPr="0056639C">
        <w:rPr>
          <w:sz w:val="20"/>
          <w:szCs w:val="20"/>
        </w:rPr>
        <w:t xml:space="preserve"> 1 in 6,531</w:t>
      </w:r>
      <w:r w:rsidRPr="0056639C">
        <w:rPr>
          <w:sz w:val="20"/>
          <w:szCs w:val="20"/>
        </w:rPr>
        <w:t xml:space="preserve"> and</w:t>
      </w:r>
      <w:r w:rsidR="00E44734" w:rsidRPr="0056639C">
        <w:rPr>
          <w:sz w:val="20"/>
          <w:szCs w:val="20"/>
        </w:rPr>
        <w:t xml:space="preserve"> 1 in 3,057</w:t>
      </w:r>
      <w:r w:rsidRPr="0056639C">
        <w:rPr>
          <w:sz w:val="20"/>
          <w:szCs w:val="20"/>
        </w:rPr>
        <w:t xml:space="preserve"> respectively</w:t>
      </w:r>
      <w:r w:rsidR="00E44734" w:rsidRPr="0056639C">
        <w:rPr>
          <w:sz w:val="20"/>
          <w:szCs w:val="20"/>
        </w:rPr>
        <w:t>.</w:t>
      </w:r>
      <w:r w:rsidR="005A4F96" w:rsidRPr="0056639C">
        <w:rPr>
          <w:sz w:val="20"/>
          <w:szCs w:val="20"/>
          <w:vertAlign w:val="superscript"/>
        </w:rPr>
        <w:t>1</w:t>
      </w:r>
      <w:r w:rsidR="00015EF0" w:rsidRPr="0056639C">
        <w:rPr>
          <w:sz w:val="20"/>
          <w:szCs w:val="20"/>
          <w:vertAlign w:val="superscript"/>
        </w:rPr>
        <w:t>8</w:t>
      </w:r>
      <w:r w:rsidR="005A4F96" w:rsidRPr="0056639C">
        <w:rPr>
          <w:sz w:val="20"/>
          <w:szCs w:val="20"/>
          <w:vertAlign w:val="superscript"/>
        </w:rPr>
        <w:t>,1</w:t>
      </w:r>
      <w:r w:rsidR="00015EF0" w:rsidRPr="0056639C">
        <w:rPr>
          <w:sz w:val="20"/>
          <w:szCs w:val="20"/>
          <w:vertAlign w:val="superscript"/>
        </w:rPr>
        <w:t>9</w:t>
      </w:r>
      <w:r w:rsidR="00E44734" w:rsidRPr="0056639C">
        <w:rPr>
          <w:sz w:val="20"/>
          <w:szCs w:val="20"/>
        </w:rPr>
        <w:t xml:space="preserve"> </w:t>
      </w:r>
    </w:p>
    <w:p w14:paraId="1DD4B48E" w14:textId="77777777" w:rsidR="000922FE" w:rsidRPr="0056639C" w:rsidRDefault="000922FE" w:rsidP="000922FE">
      <w:pPr>
        <w:spacing w:line="360" w:lineRule="auto"/>
        <w:rPr>
          <w:sz w:val="20"/>
          <w:szCs w:val="20"/>
        </w:rPr>
      </w:pPr>
    </w:p>
    <w:p w14:paraId="5535D461" w14:textId="7EB4F81B" w:rsidR="000922FE" w:rsidRPr="0056639C" w:rsidRDefault="000922FE" w:rsidP="000922FE">
      <w:pPr>
        <w:spacing w:line="360" w:lineRule="auto"/>
        <w:rPr>
          <w:sz w:val="20"/>
          <w:szCs w:val="20"/>
        </w:rPr>
      </w:pPr>
      <w:r w:rsidRPr="0056639C">
        <w:rPr>
          <w:sz w:val="20"/>
          <w:szCs w:val="20"/>
        </w:rPr>
        <w:t xml:space="preserve">This small absolute difference underscores that intraoperative awareness remains a rare phenomenon in both populations. Nonetheless, the finding carries clinical relevance because awareness, though infrequent, can have severe psychological and medicolegal consequences. Thus, these results should be interpreted as emphasizing the importance of recognizing and mitigating subtle, patient-specific risk factors—such as those associated with diabetes—rather than suggesting a substantial change in overall anesthetic practice. In everyday anesthetic application, the implications lie in targeted vigilance: ensuring adequate depth of anesthesia, particularly in patients whose metabolic or neurologic alterations may influence anesthetic pharmacodynamics. </w:t>
      </w:r>
    </w:p>
    <w:p w14:paraId="6A58AE60" w14:textId="77777777" w:rsidR="00A07745" w:rsidRPr="0056639C" w:rsidRDefault="00A07745">
      <w:pPr>
        <w:spacing w:line="360" w:lineRule="auto"/>
        <w:rPr>
          <w:sz w:val="20"/>
          <w:szCs w:val="20"/>
        </w:rPr>
      </w:pPr>
    </w:p>
    <w:p w14:paraId="672675DC" w14:textId="39E70651" w:rsidR="00A07745" w:rsidRPr="0056639C" w:rsidRDefault="000922FE">
      <w:pPr>
        <w:spacing w:line="360" w:lineRule="auto"/>
        <w:rPr>
          <w:sz w:val="20"/>
          <w:szCs w:val="20"/>
        </w:rPr>
      </w:pPr>
      <w:r w:rsidRPr="0056639C">
        <w:rPr>
          <w:sz w:val="20"/>
          <w:szCs w:val="20"/>
        </w:rPr>
        <w:t>Several pathophysiologic mechanisms may underlie the increased susceptibility to intraoperative awareness observed among diabetic patients. Chronic hyperglycemia and metabolic dysregulation can lead to diabetic autonomic neuropathy, which blunts physiological responses—such as tachycardia and hypertension—to inadequate anesthesia, masking clinical indicators of insufficient anesthetic depth.</w:t>
      </w:r>
      <w:r w:rsidR="00015EF0" w:rsidRPr="0056639C">
        <w:rPr>
          <w:sz w:val="20"/>
          <w:szCs w:val="20"/>
          <w:vertAlign w:val="superscript"/>
        </w:rPr>
        <w:t>20</w:t>
      </w:r>
      <w:r w:rsidRPr="0056639C">
        <w:rPr>
          <w:sz w:val="20"/>
          <w:szCs w:val="20"/>
        </w:rPr>
        <w:t xml:space="preserve"> Gastroparesis, a common manifestation of autonomic dysfunction, delays gastric emptying and may reduce the absorption of preoperative oral sedatives and anxiolytics, decreasing their bioavailability and effectiveness.</w:t>
      </w:r>
      <w:r w:rsidRPr="0056639C">
        <w:rPr>
          <w:sz w:val="20"/>
          <w:szCs w:val="20"/>
          <w:vertAlign w:val="superscript"/>
        </w:rPr>
        <w:t>11</w:t>
      </w:r>
      <w:r w:rsidRPr="0056639C">
        <w:rPr>
          <w:sz w:val="20"/>
          <w:szCs w:val="20"/>
        </w:rPr>
        <w:t xml:space="preserve"> Moreover, DM is associated with widespread microvascular complications that impair capillary blood flow and tissue perfusion.</w:t>
      </w:r>
      <w:r w:rsidR="003F727E" w:rsidRPr="0056639C">
        <w:rPr>
          <w:sz w:val="20"/>
          <w:szCs w:val="20"/>
          <w:vertAlign w:val="superscript"/>
        </w:rPr>
        <w:t>2</w:t>
      </w:r>
      <w:r w:rsidR="00015EF0" w:rsidRPr="0056639C">
        <w:rPr>
          <w:sz w:val="20"/>
          <w:szCs w:val="20"/>
          <w:vertAlign w:val="superscript"/>
        </w:rPr>
        <w:t>1</w:t>
      </w:r>
      <w:r w:rsidRPr="0056639C">
        <w:rPr>
          <w:sz w:val="20"/>
          <w:szCs w:val="20"/>
        </w:rPr>
        <w:t xml:space="preserve"> These changes can alter the pharmacokinetics of anesthetic agents by reducing their distribution efficiency and delaying equilibration with central compartments, including the central nervous system. As a result, anesthetic agents may reach subtherapeutic concentrations in target tissues, thereby increasing the risk of intraoperative awareness.</w:t>
      </w:r>
    </w:p>
    <w:p w14:paraId="498462B8" w14:textId="77777777" w:rsidR="00A07745" w:rsidRPr="0056639C" w:rsidRDefault="00A07745">
      <w:pPr>
        <w:spacing w:line="360" w:lineRule="auto"/>
        <w:rPr>
          <w:sz w:val="20"/>
          <w:szCs w:val="20"/>
        </w:rPr>
      </w:pPr>
    </w:p>
    <w:p w14:paraId="76CC18F6" w14:textId="77777777" w:rsidR="00A07745" w:rsidRPr="0056639C" w:rsidRDefault="00000000">
      <w:pPr>
        <w:spacing w:line="360" w:lineRule="auto"/>
        <w:rPr>
          <w:sz w:val="20"/>
          <w:szCs w:val="20"/>
        </w:rPr>
      </w:pPr>
      <w:r w:rsidRPr="0056639C">
        <w:rPr>
          <w:sz w:val="20"/>
          <w:szCs w:val="20"/>
        </w:rPr>
        <w:t>The clinical implications of intraoperative awareness are substantial, with potential long-term consequences including post-traumatic stress disorder, anxiety, and avoidance of future healthcare encounters, which can negatively impact patient outcomes and quality of life.</w:t>
      </w:r>
      <w:r w:rsidRPr="0056639C">
        <w:rPr>
          <w:sz w:val="20"/>
          <w:szCs w:val="20"/>
          <w:vertAlign w:val="superscript"/>
        </w:rPr>
        <w:t>2</w:t>
      </w:r>
      <w:r w:rsidRPr="0056639C">
        <w:rPr>
          <w:sz w:val="20"/>
          <w:szCs w:val="20"/>
        </w:rPr>
        <w:t xml:space="preserve"> Given the rising global prevalence of DM, these findings highlight the need for heightened vigilance and personalized anesthetic strategies in this high-risk population.</w:t>
      </w:r>
    </w:p>
    <w:p w14:paraId="0EE699B2" w14:textId="77777777" w:rsidR="00A07745" w:rsidRPr="0056639C" w:rsidRDefault="00A07745">
      <w:pPr>
        <w:spacing w:line="360" w:lineRule="auto"/>
        <w:rPr>
          <w:sz w:val="20"/>
          <w:szCs w:val="20"/>
        </w:rPr>
      </w:pPr>
    </w:p>
    <w:p w14:paraId="3FA2EC99" w14:textId="6EEA1442" w:rsidR="00A07745" w:rsidRDefault="00000000">
      <w:pPr>
        <w:spacing w:line="360" w:lineRule="auto"/>
        <w:rPr>
          <w:sz w:val="20"/>
          <w:szCs w:val="20"/>
        </w:rPr>
      </w:pPr>
      <w:r w:rsidRPr="0056639C">
        <w:rPr>
          <w:sz w:val="20"/>
          <w:szCs w:val="20"/>
        </w:rPr>
        <w:t xml:space="preserve">Since autonomic signs may be unreliable in diabetic patients, anesthesiologists should consider incorporating objective depth-of-anesthesia monitoring tools, such as </w:t>
      </w:r>
      <w:proofErr w:type="spellStart"/>
      <w:r w:rsidRPr="0056639C">
        <w:rPr>
          <w:sz w:val="20"/>
          <w:szCs w:val="20"/>
        </w:rPr>
        <w:t>bispectral</w:t>
      </w:r>
      <w:proofErr w:type="spellEnd"/>
      <w:r w:rsidRPr="0056639C">
        <w:rPr>
          <w:sz w:val="20"/>
          <w:szCs w:val="20"/>
        </w:rPr>
        <w:t xml:space="preserve"> index monitoring, which utilizes electroencephalogram data to assess consciousness levels and allows real-time anesthetic adjustment.</w:t>
      </w:r>
      <w:r w:rsidR="005A4F96" w:rsidRPr="0056639C">
        <w:rPr>
          <w:sz w:val="20"/>
          <w:szCs w:val="20"/>
          <w:vertAlign w:val="superscript"/>
        </w:rPr>
        <w:t>2</w:t>
      </w:r>
      <w:r w:rsidR="00015EF0" w:rsidRPr="0056639C">
        <w:rPr>
          <w:sz w:val="20"/>
          <w:szCs w:val="20"/>
          <w:vertAlign w:val="superscript"/>
        </w:rPr>
        <w:t>2</w:t>
      </w:r>
      <w:r w:rsidRPr="0056639C">
        <w:rPr>
          <w:sz w:val="20"/>
          <w:szCs w:val="20"/>
        </w:rPr>
        <w:t xml:space="preserve"> This approach may help mitigate the risk of awareness in patients with DM. Furthermore, neuromuscular blocking agents (NMBAs)—while often necessary for surgical procedures—are associated with an increased risk of awareness due to their suppression of motor responses, which are often used as indirect signs of consciousness.</w:t>
      </w:r>
      <w:r w:rsidRPr="0056639C">
        <w:rPr>
          <w:sz w:val="20"/>
          <w:szCs w:val="20"/>
          <w:vertAlign w:val="superscript"/>
        </w:rPr>
        <w:t>9</w:t>
      </w:r>
      <w:r w:rsidRPr="0056639C">
        <w:rPr>
          <w:sz w:val="20"/>
          <w:szCs w:val="20"/>
        </w:rPr>
        <w:t xml:space="preserve"> While it may not always be feasible to avoid NMBA use, clinicians should minimize their dosage where appropriate and ensure that depth of anesthesia is adequately maintained when paralysis is required.</w:t>
      </w:r>
    </w:p>
    <w:p w14:paraId="6F4C430D" w14:textId="77777777" w:rsidR="005970C0" w:rsidRDefault="005970C0">
      <w:pPr>
        <w:spacing w:line="360" w:lineRule="auto"/>
        <w:rPr>
          <w:sz w:val="20"/>
          <w:szCs w:val="20"/>
        </w:rPr>
      </w:pPr>
    </w:p>
    <w:p w14:paraId="1E6A82AF" w14:textId="5717E58C" w:rsidR="005970C0" w:rsidRPr="0056639C" w:rsidRDefault="005970C0">
      <w:pPr>
        <w:spacing w:line="360" w:lineRule="auto"/>
        <w:rPr>
          <w:sz w:val="20"/>
          <w:szCs w:val="20"/>
        </w:rPr>
      </w:pPr>
      <w:r>
        <w:rPr>
          <w:sz w:val="20"/>
          <w:szCs w:val="20"/>
        </w:rPr>
        <w:t xml:space="preserve">Several strengths of this study warrant emphasis. </w:t>
      </w:r>
      <w:r w:rsidRPr="0056639C">
        <w:rPr>
          <w:sz w:val="20"/>
          <w:szCs w:val="20"/>
        </w:rPr>
        <w:t>The analysis focused on a single, predefined primary outcome</w:t>
      </w:r>
      <w:r>
        <w:rPr>
          <w:sz w:val="20"/>
          <w:szCs w:val="20"/>
        </w:rPr>
        <w:t xml:space="preserve">, </w:t>
      </w:r>
      <w:r w:rsidRPr="0056639C">
        <w:rPr>
          <w:sz w:val="20"/>
          <w:szCs w:val="20"/>
        </w:rPr>
        <w:t>the incidence of intraoperative awareness</w:t>
      </w:r>
      <w:r>
        <w:rPr>
          <w:sz w:val="20"/>
          <w:szCs w:val="20"/>
        </w:rPr>
        <w:t xml:space="preserve">, </w:t>
      </w:r>
      <w:r w:rsidRPr="0056639C">
        <w:rPr>
          <w:sz w:val="20"/>
          <w:szCs w:val="20"/>
        </w:rPr>
        <w:t xml:space="preserve">thereby minimizing the risk of Type I error due to multiple analyses. </w:t>
      </w:r>
      <w:r>
        <w:rPr>
          <w:sz w:val="20"/>
          <w:szCs w:val="20"/>
        </w:rPr>
        <w:t xml:space="preserve">The use of 1:1 propensity-score matching across demographic and clinical variables, combined with a matched sample of nearly 380,000 patients, provided robust statistical power to </w:t>
      </w:r>
      <w:r w:rsidR="005D5108">
        <w:rPr>
          <w:sz w:val="20"/>
          <w:szCs w:val="20"/>
        </w:rPr>
        <w:t>detect</w:t>
      </w:r>
      <w:r>
        <w:rPr>
          <w:sz w:val="20"/>
          <w:szCs w:val="20"/>
        </w:rPr>
        <w:t xml:space="preserve"> the observed association while controlling for measured confounders. </w:t>
      </w:r>
      <w:r w:rsidRPr="0056639C">
        <w:rPr>
          <w:sz w:val="20"/>
          <w:szCs w:val="20"/>
        </w:rPr>
        <w:t xml:space="preserve">Given that the data from </w:t>
      </w:r>
      <w:proofErr w:type="spellStart"/>
      <w:r w:rsidRPr="0056639C">
        <w:rPr>
          <w:sz w:val="20"/>
          <w:szCs w:val="20"/>
        </w:rPr>
        <w:t>TriNetX</w:t>
      </w:r>
      <w:proofErr w:type="spellEnd"/>
      <w:r w:rsidRPr="0056639C">
        <w:rPr>
          <w:sz w:val="20"/>
          <w:szCs w:val="20"/>
        </w:rPr>
        <w:t xml:space="preserve"> were derived from the U.S Collaborative Network, the patient population was sufficiently diverse and nationally representative, supporting the generalizability of these findings across a wide range of healthcare settings.</w:t>
      </w:r>
    </w:p>
    <w:p w14:paraId="2289209E" w14:textId="77777777" w:rsidR="00A453DA" w:rsidRPr="0056639C" w:rsidRDefault="00A453DA">
      <w:pPr>
        <w:spacing w:line="360" w:lineRule="auto"/>
        <w:rPr>
          <w:sz w:val="20"/>
          <w:szCs w:val="20"/>
        </w:rPr>
      </w:pPr>
    </w:p>
    <w:p w14:paraId="1A43729B" w14:textId="4ACE20D2" w:rsidR="00A07745" w:rsidRPr="0056639C" w:rsidRDefault="00C822DF">
      <w:pPr>
        <w:spacing w:line="360" w:lineRule="auto"/>
        <w:rPr>
          <w:sz w:val="20"/>
          <w:szCs w:val="20"/>
        </w:rPr>
      </w:pPr>
      <w:r w:rsidRPr="0056639C">
        <w:rPr>
          <w:sz w:val="20"/>
          <w:szCs w:val="20"/>
        </w:rPr>
        <w:t>The exclusion of patients with cardiovascular disease</w:t>
      </w:r>
      <w:r w:rsidR="006F7015" w:rsidRPr="0056639C">
        <w:rPr>
          <w:sz w:val="20"/>
          <w:szCs w:val="20"/>
        </w:rPr>
        <w:t>,</w:t>
      </w:r>
      <w:r w:rsidRPr="0056639C">
        <w:rPr>
          <w:sz w:val="20"/>
          <w:szCs w:val="20"/>
        </w:rPr>
        <w:t xml:space="preserve"> including coronary artery disease, prior myocardial infarction, and cerebrovascular accident</w:t>
      </w:r>
      <w:r w:rsidR="006F7015" w:rsidRPr="0056639C">
        <w:rPr>
          <w:sz w:val="20"/>
          <w:szCs w:val="20"/>
        </w:rPr>
        <w:t>,</w:t>
      </w:r>
      <w:r w:rsidRPr="0056639C">
        <w:rPr>
          <w:sz w:val="20"/>
          <w:szCs w:val="20"/>
        </w:rPr>
        <w:t xml:space="preserve"> warrants specific justification. We recognize that these conditions are downstream sequelae of diabetes and, within a strict causal framework, sit on the mediating pathway between diabetes and intraoperative awareness rather than acting as confounders. Our rationale for excluding them was not to control confounding but to limit heterogeneity in anesthetic technique. In patients with significant cardiovascular or cerebrovascular disease, anesthesiologists frequently and intentionally deliver lighter, hemodynamically tailored anesthesia</w:t>
      </w:r>
      <w:r w:rsidR="006F7015" w:rsidRPr="0056639C">
        <w:rPr>
          <w:sz w:val="20"/>
          <w:szCs w:val="20"/>
        </w:rPr>
        <w:t xml:space="preserve"> </w:t>
      </w:r>
      <w:r w:rsidRPr="0056639C">
        <w:rPr>
          <w:sz w:val="20"/>
          <w:szCs w:val="20"/>
        </w:rPr>
        <w:t>to preserve perfusion pressure.</w:t>
      </w:r>
      <w:r w:rsidR="00796052" w:rsidRPr="0056639C">
        <w:rPr>
          <w:sz w:val="20"/>
          <w:szCs w:val="20"/>
          <w:vertAlign w:val="superscript"/>
        </w:rPr>
        <w:t>2</w:t>
      </w:r>
      <w:r w:rsidR="00015EF0" w:rsidRPr="0056639C">
        <w:rPr>
          <w:sz w:val="20"/>
          <w:szCs w:val="20"/>
          <w:vertAlign w:val="superscript"/>
        </w:rPr>
        <w:t>3</w:t>
      </w:r>
      <w:r w:rsidRPr="0056639C">
        <w:rPr>
          <w:sz w:val="20"/>
          <w:szCs w:val="20"/>
        </w:rPr>
        <w:t xml:space="preserve"> This independently elevates the risk of intraoperative awareness through a mechanism unrelated to diabetes. </w:t>
      </w:r>
      <w:r w:rsidR="002A29C4" w:rsidRPr="0056639C">
        <w:rPr>
          <w:sz w:val="20"/>
          <w:szCs w:val="20"/>
        </w:rPr>
        <w:t xml:space="preserve">Similarly, patients with chronic obstructive pulmonary disease (COPD) and active hepatitis were excluded for two reasons rooted in anesthetic pharmacology. </w:t>
      </w:r>
      <w:r w:rsidR="00EF7017" w:rsidRPr="0056639C">
        <w:rPr>
          <w:sz w:val="20"/>
          <w:szCs w:val="20"/>
        </w:rPr>
        <w:t xml:space="preserve">COPD alters pulmonary uptake and elimination of inhaled volatile anesthetics through ventilation-perfusion mismatch and air </w:t>
      </w:r>
      <w:r w:rsidR="00EF7017" w:rsidRPr="0056639C">
        <w:rPr>
          <w:sz w:val="20"/>
          <w:szCs w:val="20"/>
        </w:rPr>
        <w:lastRenderedPageBreak/>
        <w:t>trapping, producing less predictable anesthetic kinetics.</w:t>
      </w:r>
      <w:r w:rsidR="004B75BB" w:rsidRPr="0056639C">
        <w:rPr>
          <w:sz w:val="20"/>
          <w:szCs w:val="20"/>
          <w:vertAlign w:val="superscript"/>
        </w:rPr>
        <w:t>2</w:t>
      </w:r>
      <w:r w:rsidR="00015EF0" w:rsidRPr="0056639C">
        <w:rPr>
          <w:sz w:val="20"/>
          <w:szCs w:val="20"/>
          <w:vertAlign w:val="superscript"/>
        </w:rPr>
        <w:t>4</w:t>
      </w:r>
      <w:r w:rsidR="00EF7017" w:rsidRPr="0056639C">
        <w:rPr>
          <w:sz w:val="20"/>
          <w:szCs w:val="20"/>
        </w:rPr>
        <w:t xml:space="preserve"> These pharmacokinetic complexities, combined with heightened concern for postoperative respiratory complications, may influence anesthetic management in ways that could increase the risk of intraoperative awareness</w:t>
      </w:r>
      <w:r w:rsidR="002A29C4" w:rsidRPr="0056639C">
        <w:rPr>
          <w:sz w:val="20"/>
          <w:szCs w:val="20"/>
        </w:rPr>
        <w:t>.</w:t>
      </w:r>
      <w:r w:rsidR="004B75BB" w:rsidRPr="0056639C">
        <w:rPr>
          <w:sz w:val="20"/>
          <w:szCs w:val="20"/>
          <w:vertAlign w:val="superscript"/>
        </w:rPr>
        <w:t>2</w:t>
      </w:r>
      <w:r w:rsidR="00015EF0" w:rsidRPr="0056639C">
        <w:rPr>
          <w:sz w:val="20"/>
          <w:szCs w:val="20"/>
          <w:vertAlign w:val="superscript"/>
        </w:rPr>
        <w:t>5</w:t>
      </w:r>
      <w:r w:rsidR="002A29C4" w:rsidRPr="0056639C">
        <w:rPr>
          <w:sz w:val="20"/>
          <w:szCs w:val="20"/>
        </w:rPr>
        <w:t xml:space="preserve"> As for active hepatitis, it impairs hepatic metabolism and clearance of intravenous anesthetic agents, resulting in unpredictable plasma concentration.</w:t>
      </w:r>
      <w:r w:rsidR="004B75BB" w:rsidRPr="00545FD4">
        <w:rPr>
          <w:sz w:val="20"/>
          <w:szCs w:val="20"/>
          <w:vertAlign w:val="superscript"/>
        </w:rPr>
        <w:t>2</w:t>
      </w:r>
      <w:r w:rsidR="00015EF0" w:rsidRPr="0056639C">
        <w:rPr>
          <w:sz w:val="20"/>
          <w:szCs w:val="20"/>
          <w:vertAlign w:val="superscript"/>
        </w:rPr>
        <w:t>6</w:t>
      </w:r>
      <w:r w:rsidR="004B75BB" w:rsidRPr="0056639C">
        <w:rPr>
          <w:sz w:val="20"/>
          <w:szCs w:val="20"/>
        </w:rPr>
        <w:t xml:space="preserve"> </w:t>
      </w:r>
      <w:r w:rsidRPr="0056639C">
        <w:rPr>
          <w:sz w:val="20"/>
          <w:szCs w:val="20"/>
        </w:rPr>
        <w:t xml:space="preserve">Additionally, patients with cognitive impairment or dementia were excluded due to the potential for unreliable postoperative recall, which could compromise the accuracy of intraoperative awareness reporting. </w:t>
      </w:r>
    </w:p>
    <w:p w14:paraId="334C971F" w14:textId="77777777" w:rsidR="000F7AF6" w:rsidRPr="0056639C" w:rsidRDefault="000F7AF6">
      <w:pPr>
        <w:spacing w:line="360" w:lineRule="auto"/>
        <w:rPr>
          <w:sz w:val="20"/>
          <w:szCs w:val="20"/>
        </w:rPr>
      </w:pPr>
    </w:p>
    <w:p w14:paraId="0144E207" w14:textId="62322C81" w:rsidR="000F7AF6" w:rsidRPr="0056639C" w:rsidRDefault="000F7AF6">
      <w:pPr>
        <w:spacing w:line="360" w:lineRule="auto"/>
        <w:rPr>
          <w:sz w:val="20"/>
          <w:szCs w:val="20"/>
        </w:rPr>
      </w:pPr>
      <w:r w:rsidRPr="0056639C">
        <w:rPr>
          <w:sz w:val="20"/>
          <w:szCs w:val="20"/>
        </w:rPr>
        <w:t>We acknowledge that this exclusion strategy limits the generalizability of our findings to the broader surgical population, in which cardiovascular comorbidity is common among diabetic patients. The estimate reported here should therefore be interpreted as the association between diabetes and intraoperative awareness independent of established macrovascular complications, rather than the total effect of diabetes inclusive of its cardiovascular sequelae.</w:t>
      </w:r>
    </w:p>
    <w:p w14:paraId="28906E31" w14:textId="77777777" w:rsidR="00A07745" w:rsidRPr="0056639C" w:rsidRDefault="00A07745">
      <w:pPr>
        <w:spacing w:line="360" w:lineRule="auto"/>
        <w:rPr>
          <w:sz w:val="20"/>
          <w:szCs w:val="20"/>
        </w:rPr>
      </w:pPr>
    </w:p>
    <w:p w14:paraId="744B66A1" w14:textId="5AEAE9D6" w:rsidR="00C9179C" w:rsidRPr="0056639C" w:rsidRDefault="006F7015">
      <w:pPr>
        <w:spacing w:line="360" w:lineRule="auto"/>
        <w:rPr>
          <w:rStyle w:val="eop"/>
          <w:color w:val="000000"/>
          <w:sz w:val="20"/>
          <w:szCs w:val="20"/>
          <w:shd w:val="clear" w:color="auto" w:fill="FFFFFF"/>
        </w:rPr>
      </w:pPr>
      <w:r w:rsidRPr="0056639C">
        <w:rPr>
          <w:rStyle w:val="normaltextrun"/>
          <w:color w:val="000000"/>
          <w:sz w:val="20"/>
          <w:szCs w:val="20"/>
          <w:shd w:val="clear" w:color="auto" w:fill="FFFFFF"/>
        </w:rPr>
        <w:t>Our findings should be interpreted in light of several methodological limitations inherent to the data source and study design</w:t>
      </w:r>
      <w:r w:rsidR="00544E4A" w:rsidRPr="0056639C">
        <w:rPr>
          <w:rStyle w:val="normaltextrun"/>
          <w:color w:val="000000"/>
          <w:sz w:val="20"/>
          <w:szCs w:val="20"/>
          <w:shd w:val="clear" w:color="auto" w:fill="FFFFFF"/>
        </w:rPr>
        <w:t xml:space="preserve">. </w:t>
      </w:r>
      <w:r w:rsidR="00C81318" w:rsidRPr="0056639C">
        <w:rPr>
          <w:rStyle w:val="normaltextrun"/>
          <w:color w:val="000000"/>
          <w:sz w:val="20"/>
          <w:szCs w:val="20"/>
          <w:shd w:val="clear" w:color="auto" w:fill="FFFFFF"/>
        </w:rPr>
        <w:t xml:space="preserve">Propensity score matching effectively reduced measurable differences between cohorts, with the exception of three system categories—endocrine/metabolic, circulatory, and genitourinary diseases. These conditions frequently co-occur with diabetes, therefore, </w:t>
      </w:r>
      <w:r w:rsidR="00D5403D" w:rsidRPr="0056639C">
        <w:rPr>
          <w:rStyle w:val="eop"/>
          <w:color w:val="000000"/>
          <w:sz w:val="20"/>
          <w:szCs w:val="20"/>
          <w:shd w:val="clear" w:color="auto" w:fill="FFFFFF"/>
        </w:rPr>
        <w:t>f</w:t>
      </w:r>
      <w:r w:rsidR="00526D7D" w:rsidRPr="0056639C">
        <w:rPr>
          <w:rStyle w:val="eop"/>
          <w:color w:val="000000"/>
          <w:sz w:val="20"/>
          <w:szCs w:val="20"/>
          <w:shd w:val="clear" w:color="auto" w:fill="FFFFFF"/>
        </w:rPr>
        <w:t xml:space="preserve">ull adjustment for these conditions is not feasible because doing so would remove core clinical features of the diabetic population and lead to overmatching, where controlling for downstream consequences of diabetes masks the very pathways through which DM may influence anesthetic risk. </w:t>
      </w:r>
      <w:r w:rsidR="00C81318" w:rsidRPr="0056639C">
        <w:rPr>
          <w:rStyle w:val="normaltextrun"/>
          <w:color w:val="000000"/>
          <w:sz w:val="20"/>
          <w:szCs w:val="20"/>
          <w:shd w:val="clear" w:color="auto" w:fill="FFFFFF"/>
        </w:rPr>
        <w:t>Consequently</w:t>
      </w:r>
      <w:r w:rsidR="00544E4A" w:rsidRPr="0056639C">
        <w:rPr>
          <w:rStyle w:val="normaltextrun"/>
          <w:color w:val="000000"/>
          <w:sz w:val="20"/>
          <w:szCs w:val="20"/>
          <w:shd w:val="clear" w:color="auto" w:fill="FFFFFF"/>
        </w:rPr>
        <w:t>, residual confounding remains possible, particularly from comorbidities closely linked to diabetes mellitus (DM) that were not comprehensively controlled for, such as chronic kidney disease (CKD) and obesity. CKD can significantly alter anesthetic pharmacokinetics and pharmacodynamics by impairing drug metabolism and clearance, thereby prolonging anesthetic effects. Similarly, obesity—common among patients with DM—affects drug distribution, cardiac output, and monitoring reliability, all of which may influence anesthetic depth.</w:t>
      </w:r>
      <w:r w:rsidR="00C9179C" w:rsidRPr="0056639C">
        <w:rPr>
          <w:rStyle w:val="normaltextrun"/>
          <w:color w:val="000000"/>
          <w:sz w:val="20"/>
          <w:szCs w:val="20"/>
          <w:shd w:val="clear" w:color="auto" w:fill="FFFFFF"/>
        </w:rPr>
        <w:t xml:space="preserve"> </w:t>
      </w:r>
      <w:r w:rsidR="00D5403D" w:rsidRPr="0056639C">
        <w:rPr>
          <w:rStyle w:val="eop"/>
          <w:color w:val="000000"/>
          <w:sz w:val="20"/>
          <w:szCs w:val="20"/>
          <w:shd w:val="clear" w:color="auto" w:fill="FFFFFF"/>
        </w:rPr>
        <w:t>W</w:t>
      </w:r>
      <w:r w:rsidR="00C9179C" w:rsidRPr="0056639C">
        <w:rPr>
          <w:rStyle w:val="eop"/>
          <w:color w:val="000000"/>
          <w:sz w:val="20"/>
          <w:szCs w:val="20"/>
          <w:shd w:val="clear" w:color="auto" w:fill="FFFFFF"/>
        </w:rPr>
        <w:t>hile these comorbidities may partially contribute to the observed association between DM and intraoperative awareness, eliminating them from analysis would distort the real</w:t>
      </w:r>
      <w:r w:rsidR="000668EA" w:rsidRPr="0056639C">
        <w:rPr>
          <w:rStyle w:val="eop"/>
          <w:color w:val="000000"/>
          <w:sz w:val="20"/>
          <w:szCs w:val="20"/>
          <w:shd w:val="clear" w:color="auto" w:fill="FFFFFF"/>
        </w:rPr>
        <w:t xml:space="preserve"> </w:t>
      </w:r>
      <w:r w:rsidR="00C9179C" w:rsidRPr="0056639C">
        <w:rPr>
          <w:rStyle w:val="eop"/>
          <w:color w:val="000000"/>
          <w:sz w:val="20"/>
          <w:szCs w:val="20"/>
          <w:shd w:val="clear" w:color="auto" w:fill="FFFFFF"/>
        </w:rPr>
        <w:t xml:space="preserve">world diabetic phenotype and undermine external validity. </w:t>
      </w:r>
      <w:r w:rsidR="00D75C7A" w:rsidRPr="0056639C">
        <w:rPr>
          <w:rStyle w:val="eop"/>
          <w:color w:val="000000"/>
          <w:sz w:val="20"/>
          <w:szCs w:val="20"/>
          <w:shd w:val="clear" w:color="auto" w:fill="FFFFFF"/>
        </w:rPr>
        <w:t>To</w:t>
      </w:r>
      <w:r w:rsidR="006C181E" w:rsidRPr="0056639C">
        <w:rPr>
          <w:rStyle w:val="eop"/>
          <w:color w:val="000000"/>
          <w:sz w:val="20"/>
          <w:szCs w:val="20"/>
          <w:shd w:val="clear" w:color="auto" w:fill="FFFFFF"/>
        </w:rPr>
        <w:t xml:space="preserve"> assess the effect of unmeasured confounding factors, an E-</w:t>
      </w:r>
      <w:r w:rsidR="005D5108">
        <w:rPr>
          <w:rStyle w:val="eop"/>
          <w:color w:val="000000"/>
          <w:sz w:val="20"/>
          <w:szCs w:val="20"/>
          <w:shd w:val="clear" w:color="auto" w:fill="FFFFFF"/>
        </w:rPr>
        <w:t xml:space="preserve">value </w:t>
      </w:r>
      <w:r w:rsidR="006C181E" w:rsidRPr="0056639C">
        <w:rPr>
          <w:rStyle w:val="eop"/>
          <w:color w:val="000000"/>
          <w:sz w:val="20"/>
          <w:szCs w:val="20"/>
          <w:shd w:val="clear" w:color="auto" w:fill="FFFFFF"/>
        </w:rPr>
        <w:t xml:space="preserve">analysis was conducted. An E-value of 2.63 was calculated from the risk ratio of 1.625, which indicates that a relatively strong unmeasured confounder would be required to fully explain away the association. For the lower bound of the 95% CI of 1.046, an </w:t>
      </w:r>
      <w:r w:rsidR="00D57301">
        <w:rPr>
          <w:rStyle w:val="eop"/>
          <w:color w:val="000000"/>
          <w:sz w:val="20"/>
          <w:szCs w:val="20"/>
          <w:shd w:val="clear" w:color="auto" w:fill="FFFFFF"/>
        </w:rPr>
        <w:t>E</w:t>
      </w:r>
      <w:r w:rsidR="006C181E" w:rsidRPr="0056639C">
        <w:rPr>
          <w:rStyle w:val="eop"/>
          <w:color w:val="000000"/>
          <w:sz w:val="20"/>
          <w:szCs w:val="20"/>
          <w:shd w:val="clear" w:color="auto" w:fill="FFFFFF"/>
        </w:rPr>
        <w:t>-value</w:t>
      </w:r>
      <w:r w:rsidR="00D57301">
        <w:rPr>
          <w:rStyle w:val="eop"/>
          <w:color w:val="000000"/>
          <w:sz w:val="20"/>
          <w:szCs w:val="20"/>
          <w:shd w:val="clear" w:color="auto" w:fill="FFFFFF"/>
        </w:rPr>
        <w:t xml:space="preserve"> </w:t>
      </w:r>
      <w:r w:rsidR="005D5108">
        <w:rPr>
          <w:rStyle w:val="eop"/>
          <w:color w:val="000000"/>
          <w:sz w:val="20"/>
          <w:szCs w:val="20"/>
          <w:shd w:val="clear" w:color="auto" w:fill="FFFFFF"/>
        </w:rPr>
        <w:t>of</w:t>
      </w:r>
      <w:r w:rsidR="006C181E" w:rsidRPr="0056639C">
        <w:rPr>
          <w:rStyle w:val="eop"/>
          <w:color w:val="000000"/>
          <w:sz w:val="20"/>
          <w:szCs w:val="20"/>
          <w:shd w:val="clear" w:color="auto" w:fill="FFFFFF"/>
        </w:rPr>
        <w:t xml:space="preserve"> 1.27 was calculated, which suggests that it may be more sensitive to residual confounding. </w:t>
      </w:r>
      <w:r w:rsidR="00C9179C" w:rsidRPr="0056639C">
        <w:rPr>
          <w:rStyle w:val="eop"/>
          <w:color w:val="000000"/>
          <w:sz w:val="20"/>
          <w:szCs w:val="20"/>
          <w:shd w:val="clear" w:color="auto" w:fill="FFFFFF"/>
        </w:rPr>
        <w:t xml:space="preserve">Future studies using </w:t>
      </w:r>
      <w:r w:rsidR="000668EA" w:rsidRPr="0056639C">
        <w:rPr>
          <w:rStyle w:val="eop"/>
          <w:color w:val="000000"/>
          <w:sz w:val="20"/>
          <w:szCs w:val="20"/>
          <w:shd w:val="clear" w:color="auto" w:fill="FFFFFF"/>
        </w:rPr>
        <w:t xml:space="preserve">detailed </w:t>
      </w:r>
      <w:r w:rsidR="00C9179C" w:rsidRPr="0056639C">
        <w:rPr>
          <w:rStyle w:val="eop"/>
          <w:color w:val="000000"/>
          <w:sz w:val="20"/>
          <w:szCs w:val="20"/>
          <w:shd w:val="clear" w:color="auto" w:fill="FFFFFF"/>
        </w:rPr>
        <w:t>perioperative data may help clarify the extent to which these intertwined comorbidities modify this relationship.</w:t>
      </w:r>
    </w:p>
    <w:p w14:paraId="12390541" w14:textId="77777777" w:rsidR="0079149C" w:rsidRPr="0056639C" w:rsidRDefault="0079149C" w:rsidP="0079149C">
      <w:pPr>
        <w:spacing w:line="360" w:lineRule="auto"/>
        <w:rPr>
          <w:sz w:val="20"/>
          <w:szCs w:val="20"/>
        </w:rPr>
      </w:pPr>
    </w:p>
    <w:p w14:paraId="31772F00" w14:textId="1D8B4BDB" w:rsidR="00DA27EE" w:rsidRPr="0056639C" w:rsidRDefault="00544E4A" w:rsidP="0079149C">
      <w:pPr>
        <w:spacing w:line="360" w:lineRule="auto"/>
        <w:rPr>
          <w:sz w:val="20"/>
          <w:szCs w:val="20"/>
        </w:rPr>
      </w:pPr>
      <w:r w:rsidRPr="0056639C">
        <w:rPr>
          <w:sz w:val="20"/>
          <w:szCs w:val="20"/>
          <w:lang w:val="en-US"/>
        </w:rPr>
        <w:t xml:space="preserve">Another important limitation arises from reliance on ICD-10-CM coding within the </w:t>
      </w:r>
      <w:proofErr w:type="spellStart"/>
      <w:r w:rsidRPr="0056639C">
        <w:rPr>
          <w:sz w:val="20"/>
          <w:szCs w:val="20"/>
          <w:lang w:val="en-US"/>
        </w:rPr>
        <w:t>TriNetX</w:t>
      </w:r>
      <w:proofErr w:type="spellEnd"/>
      <w:r w:rsidRPr="0056639C">
        <w:rPr>
          <w:sz w:val="20"/>
          <w:szCs w:val="20"/>
          <w:lang w:val="en-US"/>
        </w:rPr>
        <w:t xml:space="preserve"> database to detect intraoperative awareness events. This approach likely underestimates the true incidence, as </w:t>
      </w:r>
      <w:r w:rsidRPr="0056639C">
        <w:rPr>
          <w:sz w:val="20"/>
          <w:szCs w:val="20"/>
          <w:lang w:val="en-US"/>
        </w:rPr>
        <w:lastRenderedPageBreak/>
        <w:t xml:space="preserve">awareness episodes are often recognized only through structured postoperative interviews or narrative clinical documentation rather than formal billing codes. </w:t>
      </w:r>
    </w:p>
    <w:p w14:paraId="3B9CADC2" w14:textId="77777777" w:rsidR="00DA27EE" w:rsidRPr="0056639C" w:rsidRDefault="00DA27EE" w:rsidP="0079149C">
      <w:pPr>
        <w:spacing w:line="360" w:lineRule="auto"/>
        <w:rPr>
          <w:sz w:val="20"/>
          <w:szCs w:val="20"/>
        </w:rPr>
      </w:pPr>
    </w:p>
    <w:p w14:paraId="2C78853A" w14:textId="03E9CA1C" w:rsidR="009E55F3" w:rsidRPr="0056639C" w:rsidRDefault="00855656" w:rsidP="0079149C">
      <w:pPr>
        <w:spacing w:line="360" w:lineRule="auto"/>
        <w:rPr>
          <w:sz w:val="20"/>
          <w:szCs w:val="20"/>
        </w:rPr>
      </w:pPr>
      <w:r>
        <w:rPr>
          <w:sz w:val="20"/>
          <w:szCs w:val="20"/>
        </w:rPr>
        <w:t>Two limitations relate to the operational definitions used to construct the cohort. First, t</w:t>
      </w:r>
      <w:r w:rsidR="00DA27EE" w:rsidRPr="0056639C">
        <w:rPr>
          <w:sz w:val="20"/>
          <w:szCs w:val="20"/>
        </w:rPr>
        <w:t xml:space="preserve">he non-diabetic cohort was defined by the absence of an ICD-10 E08–E13 diagnosis prior to surgery and may therefore include patients with undiagnosed diabetes or prediabetes. We considered tightening this definition by excluding patients with abnormal HbA1c values or exposure to antidiabetic medications, but neither criterion could be applied reliably within </w:t>
      </w:r>
      <w:proofErr w:type="spellStart"/>
      <w:r w:rsidR="00DA27EE" w:rsidRPr="0056639C">
        <w:rPr>
          <w:sz w:val="20"/>
          <w:szCs w:val="20"/>
        </w:rPr>
        <w:t>TriNetX</w:t>
      </w:r>
      <w:proofErr w:type="spellEnd"/>
      <w:r w:rsidR="00DA27EE" w:rsidRPr="0056639C">
        <w:rPr>
          <w:sz w:val="20"/>
          <w:szCs w:val="20"/>
        </w:rPr>
        <w:t>. HbA1c results are not consistently captured or harmonized across the federated network, and antidiabetic agents, particularly metformin, GLP-1 receptor agonists, and SGLT2 inhibitors, are increasingly prescribed for non-diabetic indications including polycystic ovary syndrome, obesity, and heart failure, which would have introduced a new layer of misclassification rather than resolving the existing one. We therefore retained the conservative ICD-based definition. Any undiagnosed diabetes or prediabetes contamination of the control cohort would be expected to bias the observed association toward the null.</w:t>
      </w:r>
      <w:r>
        <w:rPr>
          <w:sz w:val="20"/>
          <w:szCs w:val="20"/>
        </w:rPr>
        <w:t xml:space="preserve"> Second, the operational definition of general anesthesia exposure required three concurrent criteria: </w:t>
      </w:r>
      <w:r w:rsidRPr="0056639C">
        <w:rPr>
          <w:sz w:val="20"/>
          <w:szCs w:val="20"/>
        </w:rPr>
        <w:t>an anesthesia service code, administration of a qualifying anesthetic agent, and a temporally proximate invasive procedure</w:t>
      </w:r>
      <w:r>
        <w:rPr>
          <w:sz w:val="20"/>
          <w:szCs w:val="20"/>
        </w:rPr>
        <w:t xml:space="preserve">. However, </w:t>
      </w:r>
      <w:r w:rsidRPr="0056639C">
        <w:rPr>
          <w:sz w:val="20"/>
          <w:szCs w:val="20"/>
        </w:rPr>
        <w:t xml:space="preserve">the algorithm could not be validated against the structured anesthetic record, as </w:t>
      </w:r>
      <w:proofErr w:type="spellStart"/>
      <w:r w:rsidRPr="0056639C">
        <w:rPr>
          <w:sz w:val="20"/>
          <w:szCs w:val="20"/>
        </w:rPr>
        <w:t>TriNetX</w:t>
      </w:r>
      <w:proofErr w:type="spellEnd"/>
      <w:r w:rsidRPr="0056639C">
        <w:rPr>
          <w:sz w:val="20"/>
          <w:szCs w:val="20"/>
        </w:rPr>
        <w:t xml:space="preserve"> does not provide depth-of-anesthesia documentation, end-tidal volatile concentrations, or processed-electroencephalogram (EEG) values.</w:t>
      </w:r>
      <w:r>
        <w:rPr>
          <w:sz w:val="20"/>
          <w:szCs w:val="20"/>
        </w:rPr>
        <w:t xml:space="preserve"> </w:t>
      </w:r>
      <w:r w:rsidR="009E55F3" w:rsidRPr="0056639C">
        <w:rPr>
          <w:sz w:val="20"/>
          <w:szCs w:val="20"/>
        </w:rPr>
        <w:t>Residual exposure misclassification therefore cannot be excluded, particularly at the boundary between general anesthesia and deep sedation, and heterogeneity in anesthetic depth within the cohort remains unmeasured. Future work using institutional datasets with linked anesthesia records will allow direct validation of this exposure algorithm and the application of more restrictive definitions to assess the robustness of the present findings.</w:t>
      </w:r>
    </w:p>
    <w:p w14:paraId="6BB2F5B6" w14:textId="77777777" w:rsidR="009E55F3" w:rsidRPr="0056639C" w:rsidRDefault="009E55F3" w:rsidP="0079149C">
      <w:pPr>
        <w:spacing w:line="360" w:lineRule="auto"/>
        <w:rPr>
          <w:sz w:val="20"/>
          <w:szCs w:val="20"/>
        </w:rPr>
      </w:pPr>
    </w:p>
    <w:p w14:paraId="0B25C9F2" w14:textId="732C49A2" w:rsidR="005F7028" w:rsidRDefault="00855656" w:rsidP="00544E4A">
      <w:pPr>
        <w:spacing w:line="360" w:lineRule="auto"/>
        <w:rPr>
          <w:sz w:val="20"/>
          <w:szCs w:val="20"/>
          <w:lang w:val="en-US"/>
        </w:rPr>
      </w:pPr>
      <w:r>
        <w:rPr>
          <w:sz w:val="20"/>
          <w:szCs w:val="20"/>
        </w:rPr>
        <w:t xml:space="preserve">The capture of intraoperative awareness events is also constrained by the database. </w:t>
      </w:r>
      <w:r w:rsidR="005F7028">
        <w:rPr>
          <w:sz w:val="20"/>
          <w:szCs w:val="20"/>
        </w:rPr>
        <w:t xml:space="preserve">Detection in this study relied on ICD-10-CM coding, which likely underestimates the true incidence. This is because awareness episodes are typically recognized through structured postoperative interviews or narrative clinical </w:t>
      </w:r>
      <w:r w:rsidR="005D5108">
        <w:rPr>
          <w:sz w:val="20"/>
          <w:szCs w:val="20"/>
        </w:rPr>
        <w:t>documentation</w:t>
      </w:r>
      <w:r w:rsidR="005F7028">
        <w:rPr>
          <w:sz w:val="20"/>
          <w:szCs w:val="20"/>
        </w:rPr>
        <w:t xml:space="preserve"> rather than formal billing codes, and </w:t>
      </w:r>
      <w:proofErr w:type="spellStart"/>
      <w:r w:rsidR="005F7028">
        <w:rPr>
          <w:sz w:val="20"/>
          <w:szCs w:val="20"/>
        </w:rPr>
        <w:t>TriNetX</w:t>
      </w:r>
      <w:proofErr w:type="spellEnd"/>
      <w:r w:rsidR="005F7028">
        <w:rPr>
          <w:sz w:val="20"/>
          <w:szCs w:val="20"/>
        </w:rPr>
        <w:t xml:space="preserve"> does not provide access to anesthesia records, postoperative interviews, or intraoperative monitoring data. </w:t>
      </w:r>
      <w:r w:rsidR="00D237D9" w:rsidRPr="0056639C">
        <w:rPr>
          <w:sz w:val="20"/>
          <w:szCs w:val="20"/>
          <w:lang w:val="en-US"/>
        </w:rPr>
        <w:t>Moreover, patients may not immediately recognize or report their experiences, and even when reported, these events are not uniformly coded across providers or institutions</w:t>
      </w:r>
      <w:r w:rsidR="00D237D9" w:rsidRPr="0056639C">
        <w:rPr>
          <w:sz w:val="20"/>
          <w:szCs w:val="20"/>
        </w:rPr>
        <w:t>, leading to variability. Coding practices also differ across health systems, even when awareness is documented in chart notes, causing additional under detection of cases. Variability in ICD-10-CM coding practices across institutions may produce non-differential misclassification of both exposure (DM) and outcome (intraoperative awareness).</w:t>
      </w:r>
      <w:r w:rsidR="00D237D9">
        <w:rPr>
          <w:sz w:val="20"/>
          <w:szCs w:val="20"/>
        </w:rPr>
        <w:t xml:space="preserve"> </w:t>
      </w:r>
      <w:r w:rsidR="0079149C" w:rsidRPr="0056639C">
        <w:rPr>
          <w:sz w:val="20"/>
          <w:szCs w:val="20"/>
        </w:rPr>
        <w:t xml:space="preserve">Temporal misclassification is also possible, as awareness episodes may be recorded </w:t>
      </w:r>
      <w:r w:rsidR="00A21CF9" w:rsidRPr="0056639C">
        <w:rPr>
          <w:sz w:val="20"/>
          <w:szCs w:val="20"/>
        </w:rPr>
        <w:t>outside of the 5</w:t>
      </w:r>
      <w:r w:rsidR="0079149C" w:rsidRPr="0056639C">
        <w:rPr>
          <w:sz w:val="20"/>
          <w:szCs w:val="20"/>
        </w:rPr>
        <w:t xml:space="preserve"> years</w:t>
      </w:r>
      <w:r w:rsidR="00A21CF9" w:rsidRPr="0056639C">
        <w:rPr>
          <w:sz w:val="20"/>
          <w:szCs w:val="20"/>
        </w:rPr>
        <w:t xml:space="preserve"> window</w:t>
      </w:r>
      <w:r w:rsidR="0079149C" w:rsidRPr="0056639C">
        <w:rPr>
          <w:sz w:val="20"/>
          <w:szCs w:val="20"/>
        </w:rPr>
        <w:t xml:space="preserve"> after the index anesthetic, and these delayed entries may not be consistently </w:t>
      </w:r>
      <w:r w:rsidR="00A21CF9" w:rsidRPr="0056639C">
        <w:rPr>
          <w:sz w:val="20"/>
          <w:szCs w:val="20"/>
        </w:rPr>
        <w:t>included in the study</w:t>
      </w:r>
      <w:r w:rsidR="0079149C" w:rsidRPr="0056639C">
        <w:rPr>
          <w:sz w:val="20"/>
          <w:szCs w:val="20"/>
        </w:rPr>
        <w:t xml:space="preserve">. </w:t>
      </w:r>
      <w:r w:rsidR="00544E4A" w:rsidRPr="0056639C">
        <w:rPr>
          <w:sz w:val="20"/>
          <w:szCs w:val="20"/>
          <w:lang w:val="en-US"/>
        </w:rPr>
        <w:t xml:space="preserve">Consequently, </w:t>
      </w:r>
      <w:r w:rsidR="0079149C" w:rsidRPr="0056639C">
        <w:rPr>
          <w:sz w:val="20"/>
          <w:szCs w:val="20"/>
          <w:lang w:val="en-US"/>
        </w:rPr>
        <w:t xml:space="preserve">these </w:t>
      </w:r>
      <w:r w:rsidR="00A21CF9" w:rsidRPr="0056639C">
        <w:rPr>
          <w:sz w:val="20"/>
          <w:szCs w:val="20"/>
          <w:lang w:val="en-US"/>
        </w:rPr>
        <w:t>lead to</w:t>
      </w:r>
      <w:r w:rsidR="0079149C" w:rsidRPr="0056639C">
        <w:rPr>
          <w:sz w:val="20"/>
          <w:szCs w:val="20"/>
          <w:lang w:val="en-US"/>
        </w:rPr>
        <w:t xml:space="preserve"> a fraction of true awareness events </w:t>
      </w:r>
      <w:r w:rsidR="00C358D4" w:rsidRPr="0056639C">
        <w:rPr>
          <w:sz w:val="20"/>
          <w:szCs w:val="20"/>
          <w:lang w:val="en-US"/>
        </w:rPr>
        <w:t>undetected. The</w:t>
      </w:r>
      <w:r w:rsidR="00746C20" w:rsidRPr="0056639C">
        <w:rPr>
          <w:sz w:val="20"/>
          <w:szCs w:val="20"/>
          <w:lang w:val="en-US"/>
        </w:rPr>
        <w:t xml:space="preserve"> possibility of differential </w:t>
      </w:r>
      <w:r w:rsidR="00746C20" w:rsidRPr="0056639C">
        <w:rPr>
          <w:sz w:val="20"/>
          <w:szCs w:val="20"/>
          <w:lang w:val="en-US"/>
        </w:rPr>
        <w:lastRenderedPageBreak/>
        <w:t>outcome ascertainment</w:t>
      </w:r>
      <w:r w:rsidR="00C358D4" w:rsidRPr="0056639C">
        <w:rPr>
          <w:sz w:val="20"/>
          <w:szCs w:val="20"/>
          <w:lang w:val="en-US"/>
        </w:rPr>
        <w:t xml:space="preserve"> must also be discussed</w:t>
      </w:r>
      <w:r w:rsidR="00746C20" w:rsidRPr="0056639C">
        <w:rPr>
          <w:sz w:val="20"/>
          <w:szCs w:val="20"/>
          <w:lang w:val="en-US"/>
        </w:rPr>
        <w:t>: patients with fewer post-index encounters had fewer opportunities for an awareness diagnosis to be recorded, which would bias the observed incidence downward. Diabetic patients, however, typically require more frequent healthcare contact than non-diabetic controls, which could disproportionately increase awareness capture in the exposed cohort and bias the effect estimate upward. The net direction of these competing biases is uncertain, although the bidirectional pull suggests the observed association is unlikely to be explained by ascertainment differences alone.</w:t>
      </w:r>
      <w:r w:rsidR="00401C29" w:rsidRPr="0056639C">
        <w:rPr>
          <w:sz w:val="20"/>
          <w:szCs w:val="20"/>
          <w:lang w:val="en-US"/>
        </w:rPr>
        <w:t xml:space="preserve"> </w:t>
      </w:r>
      <w:r w:rsidR="00C358D4" w:rsidRPr="0056639C">
        <w:rPr>
          <w:sz w:val="20"/>
          <w:szCs w:val="20"/>
          <w:lang w:val="en-US"/>
        </w:rPr>
        <w:t xml:space="preserve">For our study, no minimum post-index follow-up duration was required for cohort eligibility, as the </w:t>
      </w:r>
      <w:proofErr w:type="spellStart"/>
      <w:r w:rsidR="00C358D4" w:rsidRPr="0056639C">
        <w:rPr>
          <w:sz w:val="20"/>
          <w:szCs w:val="20"/>
          <w:lang w:val="en-US"/>
        </w:rPr>
        <w:t>TriNetX</w:t>
      </w:r>
      <w:proofErr w:type="spellEnd"/>
      <w:r w:rsidR="00C358D4" w:rsidRPr="0056639C">
        <w:rPr>
          <w:sz w:val="20"/>
          <w:szCs w:val="20"/>
          <w:lang w:val="en-US"/>
        </w:rPr>
        <w:t xml:space="preserve"> platform does not provide patient-level data that would permit the restriction. </w:t>
      </w:r>
    </w:p>
    <w:p w14:paraId="2616441D" w14:textId="77777777" w:rsidR="005F7028" w:rsidRPr="00545FD4" w:rsidRDefault="005F7028" w:rsidP="00544E4A">
      <w:pPr>
        <w:spacing w:line="360" w:lineRule="auto"/>
        <w:rPr>
          <w:sz w:val="20"/>
          <w:szCs w:val="20"/>
        </w:rPr>
      </w:pPr>
    </w:p>
    <w:p w14:paraId="1B70BE9E" w14:textId="02878F2C" w:rsidR="009E55F3" w:rsidRPr="0056639C" w:rsidRDefault="005F7028" w:rsidP="005F7028">
      <w:pPr>
        <w:spacing w:line="360" w:lineRule="auto"/>
        <w:rPr>
          <w:sz w:val="20"/>
          <w:szCs w:val="20"/>
          <w:lang w:val="en-US"/>
        </w:rPr>
      </w:pPr>
      <w:r>
        <w:rPr>
          <w:sz w:val="20"/>
          <w:szCs w:val="20"/>
          <w:lang w:val="en-US"/>
        </w:rPr>
        <w:t xml:space="preserve">Several structural features of the </w:t>
      </w:r>
      <w:proofErr w:type="spellStart"/>
      <w:r>
        <w:rPr>
          <w:sz w:val="20"/>
          <w:szCs w:val="20"/>
          <w:lang w:val="en-US"/>
        </w:rPr>
        <w:t>TriNetX</w:t>
      </w:r>
      <w:proofErr w:type="spellEnd"/>
      <w:r>
        <w:rPr>
          <w:sz w:val="20"/>
          <w:szCs w:val="20"/>
          <w:lang w:val="en-US"/>
        </w:rPr>
        <w:t xml:space="preserve"> platform also restricted our analysis. The network</w:t>
      </w:r>
      <w:r w:rsidR="00544E4A" w:rsidRPr="0056639C">
        <w:rPr>
          <w:sz w:val="20"/>
          <w:szCs w:val="20"/>
          <w:lang w:val="en-US"/>
        </w:rPr>
        <w:t xml:space="preserve"> aggregates data from </w:t>
      </w:r>
      <w:r w:rsidR="00286603" w:rsidRPr="0056639C">
        <w:rPr>
          <w:sz w:val="20"/>
          <w:szCs w:val="20"/>
          <w:lang w:val="en-US"/>
        </w:rPr>
        <w:t xml:space="preserve">72 healthcare organizations </w:t>
      </w:r>
      <w:r w:rsidR="00544E4A" w:rsidRPr="0056639C">
        <w:rPr>
          <w:sz w:val="20"/>
          <w:szCs w:val="20"/>
          <w:lang w:val="en-US"/>
        </w:rPr>
        <w:t>with variable documentation practices, differences in perioperative management</w:t>
      </w:r>
      <w:r w:rsidR="00F34A0C" w:rsidRPr="0056639C">
        <w:rPr>
          <w:sz w:val="20"/>
          <w:szCs w:val="20"/>
          <w:lang w:val="en-US"/>
        </w:rPr>
        <w:t xml:space="preserve"> and site-level heterogeneity</w:t>
      </w:r>
      <w:r w:rsidR="00286603" w:rsidRPr="0056639C">
        <w:rPr>
          <w:sz w:val="20"/>
          <w:szCs w:val="20"/>
          <w:lang w:val="en-US"/>
        </w:rPr>
        <w:t xml:space="preserve"> </w:t>
      </w:r>
      <w:r w:rsidR="00544E4A" w:rsidRPr="0056639C">
        <w:rPr>
          <w:sz w:val="20"/>
          <w:szCs w:val="20"/>
          <w:lang w:val="en-US"/>
        </w:rPr>
        <w:t xml:space="preserve">may vary. </w:t>
      </w:r>
      <w:r>
        <w:rPr>
          <w:sz w:val="20"/>
          <w:szCs w:val="20"/>
        </w:rPr>
        <w:t xml:space="preserve">Robust </w:t>
      </w:r>
      <w:r w:rsidR="00015EF0" w:rsidRPr="00545FD4">
        <w:rPr>
          <w:sz w:val="20"/>
          <w:szCs w:val="20"/>
        </w:rPr>
        <w:t xml:space="preserve">or cluster-robust standard errors accounting for </w:t>
      </w:r>
      <w:r>
        <w:rPr>
          <w:sz w:val="20"/>
          <w:szCs w:val="20"/>
        </w:rPr>
        <w:t>institutional</w:t>
      </w:r>
      <w:r w:rsidR="00015EF0" w:rsidRPr="00545FD4">
        <w:rPr>
          <w:sz w:val="20"/>
          <w:szCs w:val="20"/>
        </w:rPr>
        <w:t xml:space="preserve"> correlation are not available</w:t>
      </w:r>
      <w:r>
        <w:rPr>
          <w:sz w:val="20"/>
          <w:szCs w:val="20"/>
        </w:rPr>
        <w:t xml:space="preserve"> </w:t>
      </w:r>
      <w:r w:rsidR="00015EF0" w:rsidRPr="00545FD4">
        <w:rPr>
          <w:sz w:val="20"/>
          <w:szCs w:val="20"/>
        </w:rPr>
        <w:t xml:space="preserve">because </w:t>
      </w:r>
      <w:proofErr w:type="spellStart"/>
      <w:r w:rsidR="00015EF0" w:rsidRPr="00545FD4">
        <w:rPr>
          <w:sz w:val="20"/>
          <w:szCs w:val="20"/>
        </w:rPr>
        <w:t>TriNetX</w:t>
      </w:r>
      <w:proofErr w:type="spellEnd"/>
      <w:r w:rsidR="00015EF0" w:rsidRPr="00545FD4">
        <w:rPr>
          <w:sz w:val="20"/>
          <w:szCs w:val="20"/>
        </w:rPr>
        <w:t xml:space="preserve"> does not expose the contributing institution as a patient-level identifier. </w:t>
      </w:r>
      <w:r>
        <w:rPr>
          <w:sz w:val="20"/>
          <w:szCs w:val="20"/>
          <w:lang w:val="en-US"/>
        </w:rPr>
        <w:t>As</w:t>
      </w:r>
      <w:r w:rsidR="006F0852" w:rsidRPr="0056639C">
        <w:rPr>
          <w:sz w:val="20"/>
          <w:szCs w:val="20"/>
          <w:lang w:val="en-US"/>
        </w:rPr>
        <w:t xml:space="preserve"> an EHR-derived dataset</w:t>
      </w:r>
      <w:r>
        <w:rPr>
          <w:sz w:val="20"/>
          <w:szCs w:val="20"/>
          <w:lang w:val="en-US"/>
        </w:rPr>
        <w:t xml:space="preserve">, </w:t>
      </w:r>
      <w:proofErr w:type="spellStart"/>
      <w:r>
        <w:rPr>
          <w:sz w:val="20"/>
          <w:szCs w:val="20"/>
          <w:lang w:val="en-US"/>
        </w:rPr>
        <w:t>TriNetX</w:t>
      </w:r>
      <w:proofErr w:type="spellEnd"/>
      <w:r>
        <w:rPr>
          <w:sz w:val="20"/>
          <w:szCs w:val="20"/>
          <w:lang w:val="en-US"/>
        </w:rPr>
        <w:t xml:space="preserve"> also </w:t>
      </w:r>
      <w:r w:rsidR="006F0852" w:rsidRPr="0056639C">
        <w:rPr>
          <w:sz w:val="20"/>
          <w:szCs w:val="20"/>
          <w:lang w:val="en-US"/>
        </w:rPr>
        <w:t xml:space="preserve">does not </w:t>
      </w:r>
      <w:r>
        <w:rPr>
          <w:sz w:val="20"/>
          <w:szCs w:val="20"/>
          <w:lang w:val="en-US"/>
        </w:rPr>
        <w:t>capture several variables that are clinically relevant to intraoperative awareness risk,</w:t>
      </w:r>
      <w:r w:rsidR="00281FFB" w:rsidRPr="0056639C">
        <w:rPr>
          <w:sz w:val="20"/>
          <w:szCs w:val="20"/>
          <w:lang w:val="en-US"/>
        </w:rPr>
        <w:t xml:space="preserve"> </w:t>
      </w:r>
      <w:r w:rsidR="00281FFB" w:rsidRPr="0056639C">
        <w:rPr>
          <w:rStyle w:val="eop"/>
          <w:color w:val="000000"/>
          <w:sz w:val="20"/>
          <w:szCs w:val="20"/>
          <w:shd w:val="clear" w:color="auto" w:fill="FFFFFF"/>
        </w:rPr>
        <w:t xml:space="preserve">including </w:t>
      </w:r>
      <w:r w:rsidR="009B140C" w:rsidRPr="0056639C">
        <w:rPr>
          <w:rStyle w:val="eop"/>
          <w:color w:val="000000"/>
          <w:sz w:val="20"/>
          <w:szCs w:val="20"/>
          <w:shd w:val="clear" w:color="auto" w:fill="FFFFFF"/>
        </w:rPr>
        <w:t xml:space="preserve">American Society of Anesthesiologists (ASA) physical status, emergency vs elective surgical designation, exact procedure duration, intraoperative anesthetic dose, </w:t>
      </w:r>
      <w:r w:rsidR="00281FFB" w:rsidRPr="0056639C">
        <w:rPr>
          <w:rStyle w:val="eop"/>
          <w:color w:val="000000"/>
          <w:sz w:val="20"/>
          <w:szCs w:val="20"/>
          <w:shd w:val="clear" w:color="auto" w:fill="FFFFFF"/>
        </w:rPr>
        <w:t>processed-EEG/</w:t>
      </w:r>
      <w:proofErr w:type="spellStart"/>
      <w:r w:rsidR="00F30DC7" w:rsidRPr="0056639C">
        <w:rPr>
          <w:rStyle w:val="eop"/>
          <w:color w:val="000000"/>
          <w:sz w:val="20"/>
          <w:szCs w:val="20"/>
          <w:shd w:val="clear" w:color="auto" w:fill="FFFFFF"/>
        </w:rPr>
        <w:t>bispectral</w:t>
      </w:r>
      <w:proofErr w:type="spellEnd"/>
      <w:r w:rsidR="00F30DC7" w:rsidRPr="0056639C">
        <w:rPr>
          <w:rStyle w:val="eop"/>
          <w:color w:val="000000"/>
          <w:sz w:val="20"/>
          <w:szCs w:val="20"/>
          <w:shd w:val="clear" w:color="auto" w:fill="FFFFFF"/>
        </w:rPr>
        <w:t xml:space="preserve"> index</w:t>
      </w:r>
      <w:r w:rsidR="00281FFB" w:rsidRPr="0056639C">
        <w:rPr>
          <w:rStyle w:val="eop"/>
          <w:color w:val="000000"/>
          <w:sz w:val="20"/>
          <w:szCs w:val="20"/>
          <w:shd w:val="clear" w:color="auto" w:fill="FFFFFF"/>
        </w:rPr>
        <w:t xml:space="preserve"> monitoring, intraoperative anesthetic depth, anesthesia provider experience and training, and institution-level practice patterns</w:t>
      </w:r>
      <w:r>
        <w:rPr>
          <w:rStyle w:val="eop"/>
          <w:color w:val="000000"/>
          <w:sz w:val="20"/>
          <w:szCs w:val="20"/>
          <w:shd w:val="clear" w:color="auto" w:fill="FFFFFF"/>
        </w:rPr>
        <w:t>. Therefore,</w:t>
      </w:r>
      <w:r w:rsidR="00281FFB" w:rsidRPr="0056639C">
        <w:rPr>
          <w:rStyle w:val="eop"/>
          <w:color w:val="000000"/>
          <w:sz w:val="20"/>
          <w:szCs w:val="20"/>
          <w:shd w:val="clear" w:color="auto" w:fill="FFFFFF"/>
        </w:rPr>
        <w:t xml:space="preserve"> </w:t>
      </w:r>
      <w:r>
        <w:rPr>
          <w:rStyle w:val="eop"/>
          <w:color w:val="000000"/>
          <w:sz w:val="20"/>
          <w:szCs w:val="20"/>
          <w:shd w:val="clear" w:color="auto" w:fill="FFFFFF"/>
        </w:rPr>
        <w:t>these variables</w:t>
      </w:r>
      <w:r w:rsidR="00281FFB" w:rsidRPr="0056639C">
        <w:rPr>
          <w:rStyle w:val="eop"/>
          <w:color w:val="000000"/>
          <w:sz w:val="20"/>
          <w:szCs w:val="20"/>
          <w:shd w:val="clear" w:color="auto" w:fill="FFFFFF"/>
        </w:rPr>
        <w:t xml:space="preserve"> could not be matched on or adjusted for.</w:t>
      </w:r>
      <w:r w:rsidR="006F0852" w:rsidRPr="0056639C">
        <w:rPr>
          <w:sz w:val="20"/>
          <w:szCs w:val="20"/>
          <w:lang w:val="en-US"/>
        </w:rPr>
        <w:t xml:space="preserve"> </w:t>
      </w:r>
      <w:r>
        <w:rPr>
          <w:sz w:val="20"/>
          <w:szCs w:val="20"/>
          <w:lang w:val="en-US"/>
        </w:rPr>
        <w:t>The</w:t>
      </w:r>
      <w:r w:rsidR="005F5E3E" w:rsidRPr="0056639C">
        <w:rPr>
          <w:sz w:val="20"/>
          <w:szCs w:val="20"/>
          <w:lang w:val="en-US"/>
        </w:rPr>
        <w:t xml:space="preserve"> platform’s automated significance threshold may leave some compared-but-unflagged variables imbalanced at baseline (Supplementary Table S1)</w:t>
      </w:r>
      <w:r>
        <w:rPr>
          <w:sz w:val="20"/>
          <w:szCs w:val="20"/>
          <w:lang w:val="en-US"/>
        </w:rPr>
        <w:t>,</w:t>
      </w:r>
      <w:r w:rsidR="005F5E3E" w:rsidRPr="0056639C">
        <w:rPr>
          <w:sz w:val="20"/>
          <w:szCs w:val="20"/>
          <w:lang w:val="en-US"/>
        </w:rPr>
        <w:t xml:space="preserve"> </w:t>
      </w:r>
      <w:r w:rsidR="0052231A" w:rsidRPr="0056639C">
        <w:rPr>
          <w:sz w:val="20"/>
          <w:szCs w:val="20"/>
          <w:lang w:val="en-US"/>
        </w:rPr>
        <w:t>these variables are included for transparency.</w:t>
      </w:r>
      <w:r w:rsidR="005F5E3E" w:rsidRPr="0056639C">
        <w:rPr>
          <w:sz w:val="20"/>
          <w:szCs w:val="20"/>
          <w:lang w:val="en-US"/>
        </w:rPr>
        <w:t xml:space="preserve"> </w:t>
      </w:r>
      <w:r>
        <w:rPr>
          <w:sz w:val="20"/>
          <w:szCs w:val="20"/>
          <w:lang w:val="en-US"/>
        </w:rPr>
        <w:t>Finally</w:t>
      </w:r>
      <w:r w:rsidR="00015EF0" w:rsidRPr="0056639C">
        <w:rPr>
          <w:sz w:val="20"/>
          <w:szCs w:val="20"/>
          <w:lang w:val="en-US"/>
        </w:rPr>
        <w:t xml:space="preserve">, </w:t>
      </w:r>
      <w:r w:rsidR="00CD7ABB">
        <w:rPr>
          <w:sz w:val="20"/>
          <w:szCs w:val="20"/>
          <w:lang w:val="en-US"/>
        </w:rPr>
        <w:t>c</w:t>
      </w:r>
      <w:r w:rsidR="00CD7ABB" w:rsidRPr="00CD7ABB">
        <w:rPr>
          <w:sz w:val="20"/>
          <w:szCs w:val="20"/>
          <w:lang w:val="en-US"/>
        </w:rPr>
        <w:t xml:space="preserve">onditional logistic regression appropriate for matched-pair data is not implemented within the platform's standard analytics module and could not be applied through the access model used in this study. </w:t>
      </w:r>
      <w:r w:rsidR="00093BD6" w:rsidRPr="00093BD6">
        <w:rPr>
          <w:sz w:val="20"/>
          <w:szCs w:val="20"/>
          <w:lang w:val="en-US"/>
        </w:rPr>
        <w:t>However, unconditional logistic regression has been argued to be appropriate for matched designs in which the matching is non-unique</w:t>
      </w:r>
      <w:r w:rsidR="00093BD6">
        <w:rPr>
          <w:sz w:val="20"/>
          <w:szCs w:val="20"/>
          <w:lang w:val="en-US"/>
        </w:rPr>
        <w:t xml:space="preserve">, </w:t>
      </w:r>
      <w:r w:rsidR="00093BD6" w:rsidRPr="00093BD6">
        <w:rPr>
          <w:sz w:val="20"/>
          <w:szCs w:val="20"/>
          <w:lang w:val="en-US"/>
        </w:rPr>
        <w:t>that is, when one case could be matched to other controls without substantially changing the association</w:t>
      </w:r>
      <w:r w:rsidR="00093BD6">
        <w:rPr>
          <w:sz w:val="20"/>
          <w:szCs w:val="20"/>
          <w:lang w:val="en-US"/>
        </w:rPr>
        <w:t xml:space="preserve">. </w:t>
      </w:r>
      <w:r w:rsidR="00093BD6" w:rsidRPr="00093BD6">
        <w:rPr>
          <w:sz w:val="20"/>
          <w:szCs w:val="20"/>
          <w:lang w:val="en-US"/>
        </w:rPr>
        <w:t>1:1 nearest-neighbor propensity-score matching from a large control pool shares this non-unique structure, and the qualitative interpretation of the association is therefore unlikely to be substantively affected.</w:t>
      </w:r>
      <w:r w:rsidR="00CD7ABB" w:rsidRPr="00545FD4">
        <w:rPr>
          <w:sz w:val="20"/>
          <w:szCs w:val="20"/>
          <w:vertAlign w:val="superscript"/>
          <w:lang w:val="en-US"/>
        </w:rPr>
        <w:t>27</w:t>
      </w:r>
    </w:p>
    <w:p w14:paraId="77AD15AC" w14:textId="77777777" w:rsidR="005A5AD3" w:rsidRPr="0056639C" w:rsidRDefault="005A5AD3" w:rsidP="00C358D4">
      <w:pPr>
        <w:spacing w:line="360" w:lineRule="auto"/>
        <w:rPr>
          <w:sz w:val="20"/>
          <w:szCs w:val="20"/>
          <w:lang w:val="en-US"/>
        </w:rPr>
      </w:pPr>
    </w:p>
    <w:p w14:paraId="7CDFC318" w14:textId="258C2AE8" w:rsidR="005A5AD3" w:rsidRPr="0056639C" w:rsidRDefault="00040DF8" w:rsidP="005A5AD3">
      <w:pPr>
        <w:spacing w:line="360" w:lineRule="auto"/>
        <w:rPr>
          <w:sz w:val="20"/>
          <w:szCs w:val="20"/>
          <w:lang w:val="en-US"/>
        </w:rPr>
      </w:pPr>
      <w:r w:rsidRPr="00040DF8">
        <w:rPr>
          <w:sz w:val="20"/>
          <w:szCs w:val="20"/>
          <w:lang w:val="en-US"/>
        </w:rPr>
        <w:t>The statistical inference rests on a matched-cohort 2 × 2 contingency table in which all four cells contain non-sparse observed counts (minimum cell count = 32) and the smallest expected count under the null hypothesis is 42 — well above the conventional threshold of 5 that motivates the use of small-sample methods</w:t>
      </w:r>
      <w:r>
        <w:rPr>
          <w:sz w:val="20"/>
          <w:szCs w:val="20"/>
          <w:lang w:val="en-US"/>
        </w:rPr>
        <w:t xml:space="preserve">. </w:t>
      </w:r>
      <w:r w:rsidR="005718E6">
        <w:rPr>
          <w:sz w:val="20"/>
          <w:szCs w:val="20"/>
          <w:lang w:val="en-US"/>
        </w:rPr>
        <w:t>T</w:t>
      </w:r>
      <w:r w:rsidR="005718E6" w:rsidRPr="005718E6">
        <w:rPr>
          <w:sz w:val="20"/>
          <w:szCs w:val="20"/>
          <w:lang w:val="en-US"/>
        </w:rPr>
        <w:t xml:space="preserve">he asymptotic standard-error methods implemented in the </w:t>
      </w:r>
      <w:proofErr w:type="spellStart"/>
      <w:r w:rsidR="005718E6" w:rsidRPr="005718E6">
        <w:rPr>
          <w:sz w:val="20"/>
          <w:szCs w:val="20"/>
          <w:lang w:val="en-US"/>
        </w:rPr>
        <w:t>TriNetX</w:t>
      </w:r>
      <w:proofErr w:type="spellEnd"/>
      <w:r w:rsidR="005718E6" w:rsidRPr="005718E6">
        <w:rPr>
          <w:sz w:val="20"/>
          <w:szCs w:val="20"/>
          <w:lang w:val="en-US"/>
        </w:rPr>
        <w:t xml:space="preserve"> analytics module are therefore appropriate, and the small-sample concerns that motivate Firth-type penalization and exact methods</w:t>
      </w:r>
      <w:r w:rsidR="005718E6">
        <w:rPr>
          <w:sz w:val="20"/>
          <w:szCs w:val="20"/>
          <w:lang w:val="en-US"/>
        </w:rPr>
        <w:t>,</w:t>
      </w:r>
      <w:r w:rsidR="005718E6" w:rsidRPr="005718E6">
        <w:rPr>
          <w:sz w:val="20"/>
          <w:szCs w:val="20"/>
          <w:lang w:val="en-US"/>
        </w:rPr>
        <w:t xml:space="preserve"> sparse cells, separation, or zero counts</w:t>
      </w:r>
      <w:r w:rsidR="005718E6">
        <w:rPr>
          <w:sz w:val="20"/>
          <w:szCs w:val="20"/>
          <w:lang w:val="en-US"/>
        </w:rPr>
        <w:t>,</w:t>
      </w:r>
      <w:r w:rsidR="005718E6" w:rsidRPr="005718E6">
        <w:rPr>
          <w:sz w:val="20"/>
          <w:szCs w:val="20"/>
          <w:lang w:val="en-US"/>
        </w:rPr>
        <w:t xml:space="preserve"> do not arise here. These approaches would nonetheless be the appropriate inferential strategy in sparser data, such as analyses stratified by diabetes subtype (type 1 vs type 2), by anesthetic class, or within smaller surgical subpopulations. </w:t>
      </w:r>
      <w:r w:rsidR="005718E6" w:rsidRPr="005718E6">
        <w:rPr>
          <w:sz w:val="20"/>
          <w:szCs w:val="20"/>
          <w:lang w:val="en-US"/>
        </w:rPr>
        <w:lastRenderedPageBreak/>
        <w:t xml:space="preserve">Neither Firth-corrected logistic regression nor exact (mid-P) methods is directly implemented within the </w:t>
      </w:r>
      <w:proofErr w:type="spellStart"/>
      <w:r w:rsidR="005718E6" w:rsidRPr="005718E6">
        <w:rPr>
          <w:sz w:val="20"/>
          <w:szCs w:val="20"/>
          <w:lang w:val="en-US"/>
        </w:rPr>
        <w:t>TriNetX</w:t>
      </w:r>
      <w:proofErr w:type="spellEnd"/>
      <w:r w:rsidR="005718E6" w:rsidRPr="005718E6">
        <w:rPr>
          <w:sz w:val="20"/>
          <w:szCs w:val="20"/>
          <w:lang w:val="en-US"/>
        </w:rPr>
        <w:t xml:space="preserve"> analytics module, and both require patient-level computation</w:t>
      </w:r>
      <w:r w:rsidR="00504BEE">
        <w:rPr>
          <w:sz w:val="20"/>
          <w:szCs w:val="20"/>
          <w:lang w:val="en-US"/>
        </w:rPr>
        <w:t xml:space="preserve">, </w:t>
      </w:r>
      <w:r w:rsidR="00974271">
        <w:rPr>
          <w:sz w:val="20"/>
          <w:szCs w:val="20"/>
          <w:lang w:val="en-US"/>
        </w:rPr>
        <w:t>which</w:t>
      </w:r>
      <w:r w:rsidR="005718E6" w:rsidRPr="005718E6">
        <w:rPr>
          <w:sz w:val="20"/>
          <w:szCs w:val="20"/>
          <w:lang w:val="en-US"/>
        </w:rPr>
        <w:t xml:space="preserve"> the federated platform does not permit</w:t>
      </w:r>
      <w:r w:rsidR="00974271">
        <w:rPr>
          <w:sz w:val="20"/>
          <w:szCs w:val="20"/>
          <w:lang w:val="en-US"/>
        </w:rPr>
        <w:t>. F</w:t>
      </w:r>
      <w:r w:rsidR="005718E6" w:rsidRPr="005718E6">
        <w:rPr>
          <w:sz w:val="20"/>
          <w:szCs w:val="20"/>
          <w:lang w:val="en-US"/>
        </w:rPr>
        <w:t>uture analyses with smaller event counts should employ these methods in datasets that allow patient-level statistical access.</w:t>
      </w:r>
    </w:p>
    <w:p w14:paraId="782D8BFF" w14:textId="77777777" w:rsidR="00A07745" w:rsidRPr="0056639C" w:rsidRDefault="00A07745">
      <w:pPr>
        <w:spacing w:line="360" w:lineRule="auto"/>
        <w:rPr>
          <w:sz w:val="20"/>
          <w:szCs w:val="20"/>
        </w:rPr>
      </w:pPr>
    </w:p>
    <w:p w14:paraId="44D9DE91" w14:textId="45C75B06" w:rsidR="00EE03AD" w:rsidRPr="0056639C" w:rsidRDefault="00C452EA" w:rsidP="00C452EA">
      <w:pPr>
        <w:spacing w:line="360" w:lineRule="auto"/>
        <w:rPr>
          <w:sz w:val="20"/>
          <w:szCs w:val="20"/>
        </w:rPr>
      </w:pPr>
      <w:r w:rsidRPr="0056639C">
        <w:rPr>
          <w:sz w:val="20"/>
          <w:szCs w:val="20"/>
        </w:rPr>
        <w:t xml:space="preserve">Future research should further investigate whether the observed association differs between type 1 and type 2 diabetes mellitus (DM), given their distinct pathophysiologic mechanisms, age of onset, and comorbidity profiles—all of which may variably influence anesthetic pharmacodynamics, metabolism, and susceptibility to intraoperative awareness. </w:t>
      </w:r>
      <w:r w:rsidR="005856F6" w:rsidRPr="0056639C">
        <w:rPr>
          <w:sz w:val="20"/>
          <w:szCs w:val="20"/>
        </w:rPr>
        <w:t>In addition, future studies should incorporate richer phenotyping of diabetes, including repeat diagnostic codes, validated medication exposure, longitudinal A1c trajectories, and disease duration, to characterize a potential dose–response relationship between diabetes severity and intraoperative awareness. Such details would also permit meaningful subgroup analysis by glycemic control and insulin dependence, which our administrative dataset could not support.</w:t>
      </w:r>
      <w:r w:rsidR="00401C29" w:rsidRPr="0056639C">
        <w:rPr>
          <w:sz w:val="20"/>
          <w:szCs w:val="20"/>
        </w:rPr>
        <w:t xml:space="preserve"> </w:t>
      </w:r>
      <w:r w:rsidRPr="0056639C">
        <w:rPr>
          <w:sz w:val="20"/>
          <w:szCs w:val="20"/>
        </w:rPr>
        <w:t>Although we attempted to perform subgroup analyses, the number of patients with type 1 DM</w:t>
      </w:r>
      <w:r w:rsidR="004F0E46" w:rsidRPr="0056639C">
        <w:rPr>
          <w:sz w:val="20"/>
          <w:szCs w:val="20"/>
        </w:rPr>
        <w:t xml:space="preserve"> experiencing intraoperative awareness</w:t>
      </w:r>
      <w:r w:rsidRPr="0056639C">
        <w:rPr>
          <w:sz w:val="20"/>
          <w:szCs w:val="20"/>
        </w:rPr>
        <w:t xml:space="preserve"> in our dataset was insufficient for meaningful statistical comparison</w:t>
      </w:r>
      <w:r w:rsidR="00E31560" w:rsidRPr="0056639C">
        <w:rPr>
          <w:sz w:val="20"/>
          <w:szCs w:val="20"/>
        </w:rPr>
        <w:t xml:space="preserve">. </w:t>
      </w:r>
      <w:r w:rsidRPr="0056639C">
        <w:rPr>
          <w:sz w:val="20"/>
          <w:szCs w:val="20"/>
        </w:rPr>
        <w:t xml:space="preserve">Stratification by DM subtype </w:t>
      </w:r>
      <w:r w:rsidR="000E6003" w:rsidRPr="0056639C">
        <w:rPr>
          <w:sz w:val="20"/>
          <w:szCs w:val="20"/>
        </w:rPr>
        <w:t xml:space="preserve">and insulin-dependence </w:t>
      </w:r>
      <w:r w:rsidRPr="0056639C">
        <w:rPr>
          <w:sz w:val="20"/>
          <w:szCs w:val="20"/>
        </w:rPr>
        <w:t>in larger datasets may help clarify potential differences in anesthetic risk profiles.</w:t>
      </w:r>
    </w:p>
    <w:p w14:paraId="6CA60E9F" w14:textId="77777777" w:rsidR="00EE03AD" w:rsidRPr="0056639C" w:rsidRDefault="00EE03AD" w:rsidP="00C452EA">
      <w:pPr>
        <w:spacing w:line="360" w:lineRule="auto"/>
        <w:rPr>
          <w:sz w:val="20"/>
          <w:szCs w:val="20"/>
        </w:rPr>
      </w:pPr>
    </w:p>
    <w:p w14:paraId="236EF972" w14:textId="2C8667EB" w:rsidR="00C452EA" w:rsidRPr="0056639C" w:rsidRDefault="00C452EA" w:rsidP="00C452EA">
      <w:pPr>
        <w:spacing w:line="360" w:lineRule="auto"/>
        <w:rPr>
          <w:sz w:val="20"/>
          <w:szCs w:val="20"/>
        </w:rPr>
      </w:pPr>
      <w:r w:rsidRPr="0056639C">
        <w:rPr>
          <w:sz w:val="20"/>
          <w:szCs w:val="20"/>
        </w:rPr>
        <w:t xml:space="preserve">Furthermore, while neuromuscular blocking agents (NMBAs) are well recognized to increase the risk of awareness by masking motor responses indicative of inadequate anesthesia, our ability to stratify awareness events based on NMBA exposure was constrained by the structure of the </w:t>
      </w:r>
      <w:proofErr w:type="spellStart"/>
      <w:r w:rsidRPr="0056639C">
        <w:rPr>
          <w:sz w:val="20"/>
          <w:szCs w:val="20"/>
        </w:rPr>
        <w:t>TriNetX</w:t>
      </w:r>
      <w:proofErr w:type="spellEnd"/>
      <w:r w:rsidRPr="0056639C">
        <w:rPr>
          <w:sz w:val="20"/>
          <w:szCs w:val="20"/>
        </w:rPr>
        <w:t xml:space="preserve"> database. Although the platform </w:t>
      </w:r>
      <w:r w:rsidR="004F50A1" w:rsidRPr="0056639C">
        <w:rPr>
          <w:sz w:val="20"/>
          <w:szCs w:val="20"/>
        </w:rPr>
        <w:t>records</w:t>
      </w:r>
      <w:r w:rsidRPr="0056639C">
        <w:rPr>
          <w:sz w:val="20"/>
          <w:szCs w:val="20"/>
        </w:rPr>
        <w:t xml:space="preserve"> medication exposures, it does not consistently include temporal data regarding dose, duration, or intraoperative context. Consequently, precise classification of NMBA administration was not feasible. Future studies </w:t>
      </w:r>
      <w:r w:rsidR="004F50A1" w:rsidRPr="0056639C">
        <w:rPr>
          <w:sz w:val="20"/>
          <w:szCs w:val="20"/>
        </w:rPr>
        <w:t xml:space="preserve">that </w:t>
      </w:r>
      <w:r w:rsidRPr="0056639C">
        <w:rPr>
          <w:sz w:val="20"/>
          <w:szCs w:val="20"/>
        </w:rPr>
        <w:t>leverag</w:t>
      </w:r>
      <w:r w:rsidR="004F50A1" w:rsidRPr="0056639C">
        <w:rPr>
          <w:sz w:val="20"/>
          <w:szCs w:val="20"/>
        </w:rPr>
        <w:t>e more comprehensive</w:t>
      </w:r>
      <w:r w:rsidRPr="0056639C">
        <w:rPr>
          <w:sz w:val="20"/>
          <w:szCs w:val="20"/>
        </w:rPr>
        <w:t xml:space="preserve"> perioperative datasets </w:t>
      </w:r>
      <w:r w:rsidR="005D5108">
        <w:rPr>
          <w:sz w:val="20"/>
          <w:szCs w:val="20"/>
        </w:rPr>
        <w:t>are</w:t>
      </w:r>
      <w:r w:rsidR="005D5108" w:rsidRPr="0056639C">
        <w:rPr>
          <w:sz w:val="20"/>
          <w:szCs w:val="20"/>
        </w:rPr>
        <w:t xml:space="preserve"> </w:t>
      </w:r>
      <w:r w:rsidR="004F50A1" w:rsidRPr="0056639C">
        <w:rPr>
          <w:sz w:val="20"/>
          <w:szCs w:val="20"/>
        </w:rPr>
        <w:t>needed to</w:t>
      </w:r>
      <w:r w:rsidRPr="0056639C">
        <w:rPr>
          <w:sz w:val="20"/>
          <w:szCs w:val="20"/>
        </w:rPr>
        <w:t xml:space="preserve"> </w:t>
      </w:r>
      <w:r w:rsidR="004F50A1" w:rsidRPr="0056639C">
        <w:rPr>
          <w:sz w:val="20"/>
          <w:szCs w:val="20"/>
        </w:rPr>
        <w:t xml:space="preserve">elucidate </w:t>
      </w:r>
      <w:r w:rsidRPr="0056639C">
        <w:rPr>
          <w:sz w:val="20"/>
          <w:szCs w:val="20"/>
        </w:rPr>
        <w:t>the relationship between NMBA use and intraoperative awareness—particularly among high-risk populations such as patients with diabetes.</w:t>
      </w:r>
    </w:p>
    <w:p w14:paraId="7364453B" w14:textId="77777777" w:rsidR="00C452EA" w:rsidRPr="0056639C" w:rsidRDefault="00C452EA" w:rsidP="00C452EA">
      <w:pPr>
        <w:spacing w:line="360" w:lineRule="auto"/>
        <w:rPr>
          <w:sz w:val="20"/>
          <w:szCs w:val="20"/>
        </w:rPr>
      </w:pPr>
    </w:p>
    <w:p w14:paraId="6B518F1C" w14:textId="68C0D8D3" w:rsidR="00C452EA" w:rsidRDefault="00C452EA" w:rsidP="00C452EA">
      <w:pPr>
        <w:spacing w:line="360" w:lineRule="auto"/>
        <w:rPr>
          <w:sz w:val="20"/>
          <w:szCs w:val="20"/>
        </w:rPr>
      </w:pPr>
      <w:r w:rsidRPr="0056639C">
        <w:rPr>
          <w:sz w:val="20"/>
          <w:szCs w:val="20"/>
        </w:rPr>
        <w:t>Finally, further investigation in specific surgical subgroups, such as obstetric patients with gestational DM undergoing cesarean delivery, may inform tailored anesthetic and monitoring strategies, thereby enhancing perioperative safety for both mothers and infants.</w:t>
      </w:r>
    </w:p>
    <w:p w14:paraId="4A0F8F57" w14:textId="77777777" w:rsidR="00133A80" w:rsidRDefault="00133A80" w:rsidP="00C452EA">
      <w:pPr>
        <w:spacing w:line="360" w:lineRule="auto"/>
        <w:rPr>
          <w:sz w:val="20"/>
          <w:szCs w:val="20"/>
        </w:rPr>
      </w:pPr>
    </w:p>
    <w:p w14:paraId="104B79D1" w14:textId="77777777" w:rsidR="00133A80" w:rsidRPr="0056639C" w:rsidRDefault="00133A80" w:rsidP="00133A80">
      <w:pPr>
        <w:spacing w:line="360" w:lineRule="auto"/>
        <w:rPr>
          <w:sz w:val="20"/>
          <w:szCs w:val="20"/>
        </w:rPr>
      </w:pPr>
      <w:r>
        <w:rPr>
          <w:sz w:val="20"/>
          <w:szCs w:val="20"/>
        </w:rPr>
        <w:t>Taken together</w:t>
      </w:r>
      <w:r w:rsidRPr="0056639C">
        <w:rPr>
          <w:sz w:val="20"/>
          <w:szCs w:val="20"/>
        </w:rPr>
        <w:t xml:space="preserve">, this large-scale study provided important insights into the increased risk of intraoperative awareness among patients with DM. These findings underscore the importance of individualized anesthetic planning, proactive intraoperative monitoring, and structured postoperative assessments in this high-risk population. Routine follow-up beyond the post-anesthesia care unit, including post-discharge contact or outpatient follow-up, may help identify delayed recall and enable timely intervention.  Finally, although the data showed a statistically significant difference in incidence of anesthesia awareness </w:t>
      </w:r>
      <w:r w:rsidRPr="0056639C">
        <w:rPr>
          <w:sz w:val="20"/>
          <w:szCs w:val="20"/>
        </w:rPr>
        <w:lastRenderedPageBreak/>
        <w:t>between DM and non-DM patients, the absolute risk difference remained small at 0.011%. While this increase may appear modest in clinical practice given the rarity of the event, the findings nonetheless highlight the need for continued vigilance in anesthetic monitoring for patients with diabetes.</w:t>
      </w:r>
    </w:p>
    <w:p w14:paraId="602EC2F2" w14:textId="3B4D5FBD" w:rsidR="00A07745" w:rsidRPr="0056639C" w:rsidRDefault="00A07745">
      <w:pPr>
        <w:spacing w:line="360" w:lineRule="auto"/>
        <w:rPr>
          <w:sz w:val="20"/>
          <w:szCs w:val="20"/>
        </w:rPr>
      </w:pPr>
    </w:p>
    <w:p w14:paraId="7CF9B01A" w14:textId="77777777" w:rsidR="00A07745" w:rsidRPr="0056639C" w:rsidRDefault="00000000">
      <w:pPr>
        <w:spacing w:line="360" w:lineRule="auto"/>
        <w:rPr>
          <w:color w:val="4A86E8"/>
          <w:sz w:val="20"/>
          <w:szCs w:val="20"/>
        </w:rPr>
      </w:pPr>
      <w:r w:rsidRPr="0056639C">
        <w:rPr>
          <w:b/>
          <w:sz w:val="20"/>
          <w:szCs w:val="20"/>
        </w:rPr>
        <w:t>SUMMARY</w:t>
      </w:r>
      <w:r w:rsidRPr="0056639C">
        <w:rPr>
          <w:sz w:val="20"/>
          <w:szCs w:val="20"/>
        </w:rPr>
        <w:t xml:space="preserve"> </w:t>
      </w:r>
    </w:p>
    <w:p w14:paraId="11E5CEC2" w14:textId="77777777" w:rsidR="00A07745" w:rsidRPr="0056639C" w:rsidRDefault="00A07745">
      <w:pPr>
        <w:spacing w:line="360" w:lineRule="auto"/>
        <w:rPr>
          <w:sz w:val="20"/>
          <w:szCs w:val="20"/>
        </w:rPr>
      </w:pPr>
    </w:p>
    <w:p w14:paraId="38399EF3" w14:textId="2423C2D3" w:rsidR="00A07745" w:rsidRPr="0056639C" w:rsidRDefault="00000000">
      <w:pPr>
        <w:spacing w:line="360" w:lineRule="auto"/>
        <w:rPr>
          <w:sz w:val="20"/>
          <w:szCs w:val="20"/>
        </w:rPr>
      </w:pPr>
      <w:r w:rsidRPr="0056639C">
        <w:rPr>
          <w:sz w:val="20"/>
          <w:szCs w:val="20"/>
        </w:rPr>
        <w:t>We present Diabetes Mellitus (DM) and the Risk of Intraoperative Awareness During General Anesthesia: A Retrospective Cohort Study Using a National Database. DM is a widespread chronic condition that affects millions globally, commonly known for causing elevated blood sugar levels and complications affecting</w:t>
      </w:r>
      <w:r w:rsidR="0029029A" w:rsidRPr="0056639C">
        <w:rPr>
          <w:sz w:val="20"/>
          <w:szCs w:val="20"/>
        </w:rPr>
        <w:t xml:space="preserve"> various</w:t>
      </w:r>
      <w:r w:rsidRPr="0056639C">
        <w:rPr>
          <w:sz w:val="20"/>
          <w:szCs w:val="20"/>
        </w:rPr>
        <w:t xml:space="preserve"> organs. Beyond these well-recognized risks, DM may alter pharmacokinetics and physiological responses during surgery, potentially impacting anesthetic depth and increasing the risk of intraoperative awareness—an event in which patients unexpectedly regain consciousness during surgery and may later recall perioperative events. Intraoperative awareness can lead to significant psychological consequences, including post-traumatic stress disorder, and avoidance of future healthcare encounters, further affecting quality of life.</w:t>
      </w:r>
    </w:p>
    <w:p w14:paraId="1593AC24" w14:textId="77777777" w:rsidR="00A07745" w:rsidRPr="0056639C" w:rsidRDefault="00A07745">
      <w:pPr>
        <w:spacing w:line="360" w:lineRule="auto"/>
        <w:rPr>
          <w:sz w:val="20"/>
          <w:szCs w:val="20"/>
        </w:rPr>
      </w:pPr>
    </w:p>
    <w:p w14:paraId="5D3FAF14" w14:textId="425354DB" w:rsidR="00A07745" w:rsidRPr="0056639C" w:rsidRDefault="00000000">
      <w:pPr>
        <w:spacing w:line="360" w:lineRule="auto"/>
        <w:rPr>
          <w:sz w:val="20"/>
          <w:szCs w:val="20"/>
        </w:rPr>
      </w:pPr>
      <w:r w:rsidRPr="0056639C">
        <w:rPr>
          <w:sz w:val="20"/>
          <w:szCs w:val="20"/>
        </w:rPr>
        <w:t xml:space="preserve">While it is hypothesized that DM may elevate the risk of intraoperative awareness, this association has not been well characterized. This study aimed to evaluate whether DM independently increases the risk of intraoperative awareness under general anesthesia. Using </w:t>
      </w:r>
      <w:proofErr w:type="spellStart"/>
      <w:r w:rsidRPr="0056639C">
        <w:rPr>
          <w:sz w:val="20"/>
          <w:szCs w:val="20"/>
        </w:rPr>
        <w:t>TriNetX</w:t>
      </w:r>
      <w:proofErr w:type="spellEnd"/>
      <w:r w:rsidRPr="0056639C">
        <w:rPr>
          <w:sz w:val="20"/>
          <w:szCs w:val="20"/>
        </w:rPr>
        <w:t xml:space="preserve">, a global federated health research database with over 250 million patient records, researchers conducted a retrospective cohort analysis, identifying </w:t>
      </w:r>
      <w:r w:rsidR="00280832" w:rsidRPr="0056639C">
        <w:rPr>
          <w:sz w:val="20"/>
          <w:szCs w:val="20"/>
        </w:rPr>
        <w:t xml:space="preserve">1,346,355 </w:t>
      </w:r>
      <w:r w:rsidRPr="0056639C">
        <w:rPr>
          <w:sz w:val="20"/>
          <w:szCs w:val="20"/>
        </w:rPr>
        <w:t xml:space="preserve">patients who underwent general anesthesia. After propensity score matching to control for comorbidities and demographic factors, two cohorts of </w:t>
      </w:r>
      <w:r w:rsidR="00280832" w:rsidRPr="0056639C">
        <w:rPr>
          <w:sz w:val="20"/>
          <w:szCs w:val="20"/>
        </w:rPr>
        <w:t>189,787</w:t>
      </w:r>
      <w:r w:rsidRPr="0056639C">
        <w:rPr>
          <w:sz w:val="20"/>
          <w:szCs w:val="20"/>
        </w:rPr>
        <w:t xml:space="preserve"> patients each (DM and non-DM) were compared to assess differences in the incidence of intraoperative awareness.</w:t>
      </w:r>
    </w:p>
    <w:p w14:paraId="6F2C6F79" w14:textId="77777777" w:rsidR="00A07745" w:rsidRPr="0056639C" w:rsidRDefault="00A07745">
      <w:pPr>
        <w:spacing w:line="360" w:lineRule="auto"/>
        <w:rPr>
          <w:sz w:val="20"/>
          <w:szCs w:val="20"/>
        </w:rPr>
      </w:pPr>
    </w:p>
    <w:p w14:paraId="16BD73AA" w14:textId="0AF5CB9B" w:rsidR="00A07745" w:rsidRPr="0056639C" w:rsidRDefault="00000000">
      <w:pPr>
        <w:spacing w:line="360" w:lineRule="auto"/>
        <w:rPr>
          <w:sz w:val="20"/>
          <w:szCs w:val="20"/>
        </w:rPr>
      </w:pPr>
      <w:r w:rsidRPr="0056639C">
        <w:rPr>
          <w:sz w:val="20"/>
          <w:szCs w:val="20"/>
        </w:rPr>
        <w:t>The analysis found that the diabetic cohort had a significantly higher incidence of intraoperative awareness (0.027%) compared to the non-diabetic cohort (0.01</w:t>
      </w:r>
      <w:r w:rsidR="00280832" w:rsidRPr="0056639C">
        <w:rPr>
          <w:sz w:val="20"/>
          <w:szCs w:val="20"/>
        </w:rPr>
        <w:t>7</w:t>
      </w:r>
      <w:r w:rsidRPr="0056639C">
        <w:rPr>
          <w:sz w:val="20"/>
          <w:szCs w:val="20"/>
        </w:rPr>
        <w:t>%). Specifically, diabetic patients had a relative risk of 1.</w:t>
      </w:r>
      <w:r w:rsidR="00280832" w:rsidRPr="0056639C">
        <w:rPr>
          <w:sz w:val="20"/>
          <w:szCs w:val="20"/>
        </w:rPr>
        <w:t>625</w:t>
      </w:r>
      <w:r w:rsidRPr="0056639C">
        <w:rPr>
          <w:sz w:val="20"/>
          <w:szCs w:val="20"/>
        </w:rPr>
        <w:t xml:space="preserve"> (95% CI: </w:t>
      </w:r>
      <w:r w:rsidR="00280832" w:rsidRPr="0056639C">
        <w:rPr>
          <w:sz w:val="20"/>
          <w:szCs w:val="20"/>
        </w:rPr>
        <w:t>1.046-2.524</w:t>
      </w:r>
      <w:r w:rsidRPr="0056639C">
        <w:rPr>
          <w:sz w:val="20"/>
          <w:szCs w:val="20"/>
        </w:rPr>
        <w:t xml:space="preserve">) and an odds ratio of </w:t>
      </w:r>
      <w:r w:rsidR="00280832" w:rsidRPr="0056639C">
        <w:rPr>
          <w:sz w:val="20"/>
          <w:szCs w:val="20"/>
        </w:rPr>
        <w:t>1.625 (95% CI: 1.046-2.524</w:t>
      </w:r>
      <w:r w:rsidRPr="0056639C">
        <w:rPr>
          <w:sz w:val="20"/>
          <w:szCs w:val="20"/>
        </w:rPr>
        <w:t>; p = 0.0</w:t>
      </w:r>
      <w:r w:rsidR="00280832" w:rsidRPr="0056639C">
        <w:rPr>
          <w:sz w:val="20"/>
          <w:szCs w:val="20"/>
        </w:rPr>
        <w:t>291</w:t>
      </w:r>
      <w:r w:rsidRPr="0056639C">
        <w:rPr>
          <w:sz w:val="20"/>
          <w:szCs w:val="20"/>
        </w:rPr>
        <w:t xml:space="preserve">), indicating </w:t>
      </w:r>
      <w:r w:rsidR="00014B04" w:rsidRPr="0056639C">
        <w:rPr>
          <w:sz w:val="20"/>
          <w:szCs w:val="20"/>
        </w:rPr>
        <w:t>an</w:t>
      </w:r>
      <w:r w:rsidRPr="0056639C">
        <w:rPr>
          <w:sz w:val="20"/>
          <w:szCs w:val="20"/>
        </w:rPr>
        <w:t xml:space="preserve"> increased risk of intraoperative awareness during general anesthesia.</w:t>
      </w:r>
    </w:p>
    <w:p w14:paraId="7D0AFA39" w14:textId="77777777" w:rsidR="00A07745" w:rsidRPr="0056639C" w:rsidRDefault="00A07745">
      <w:pPr>
        <w:spacing w:line="360" w:lineRule="auto"/>
        <w:rPr>
          <w:sz w:val="20"/>
          <w:szCs w:val="20"/>
        </w:rPr>
      </w:pPr>
    </w:p>
    <w:p w14:paraId="292E6920" w14:textId="77777777" w:rsidR="00A07745" w:rsidRPr="0056639C" w:rsidRDefault="00000000">
      <w:pPr>
        <w:spacing w:line="360" w:lineRule="auto"/>
        <w:rPr>
          <w:sz w:val="20"/>
          <w:szCs w:val="20"/>
        </w:rPr>
      </w:pPr>
      <w:r w:rsidRPr="0056639C">
        <w:rPr>
          <w:sz w:val="20"/>
          <w:szCs w:val="20"/>
        </w:rPr>
        <w:t xml:space="preserve">These findings suggest that DM is associated with a higher risk of intraoperative awareness, underscoring the complexity of anesthetic management in this population. The precise mechanisms are likely multifactorial. DM-related nerve damage, known as neuropathy, might make typical signs of inadequate anesthesia—such as elevated heart rate or blood pressure—less reliable. Additionally, diabetic patients may experience slower stomach emptying (gastroparesis), potentially impacting how the body absorbs anesthetic medications, while poor circulation related to DM may also reduce the effective delivery of anesthesia to vital organs. These results emphasize the need for heightened intraoperative monitoring and individualized anesthetic strategies in diabetic patients. </w:t>
      </w:r>
    </w:p>
    <w:p w14:paraId="7483B33C" w14:textId="77777777" w:rsidR="00A07745" w:rsidRPr="0056639C" w:rsidRDefault="00A07745">
      <w:pPr>
        <w:spacing w:line="360" w:lineRule="auto"/>
        <w:rPr>
          <w:sz w:val="20"/>
          <w:szCs w:val="20"/>
        </w:rPr>
      </w:pPr>
    </w:p>
    <w:p w14:paraId="7B7FF0FD" w14:textId="1290C092" w:rsidR="00A07745" w:rsidRPr="0056639C" w:rsidRDefault="00000000">
      <w:pPr>
        <w:spacing w:line="360" w:lineRule="auto"/>
        <w:rPr>
          <w:sz w:val="20"/>
          <w:szCs w:val="20"/>
        </w:rPr>
      </w:pPr>
      <w:r w:rsidRPr="0056639C">
        <w:rPr>
          <w:sz w:val="20"/>
          <w:szCs w:val="20"/>
        </w:rPr>
        <w:t xml:space="preserve">The incorporation of depth-of-anesthesia monitoring tools, such as </w:t>
      </w:r>
      <w:proofErr w:type="spellStart"/>
      <w:r w:rsidRPr="0056639C">
        <w:rPr>
          <w:sz w:val="20"/>
          <w:szCs w:val="20"/>
        </w:rPr>
        <w:t>bispectral</w:t>
      </w:r>
      <w:proofErr w:type="spellEnd"/>
      <w:r w:rsidRPr="0056639C">
        <w:rPr>
          <w:sz w:val="20"/>
          <w:szCs w:val="20"/>
        </w:rPr>
        <w:t xml:space="preserve"> index, may help mitigate this risk by providing real-time assessments of anesthetic depth</w:t>
      </w:r>
      <w:r w:rsidR="0029029A" w:rsidRPr="0056639C">
        <w:rPr>
          <w:sz w:val="20"/>
          <w:szCs w:val="20"/>
        </w:rPr>
        <w:t>.</w:t>
      </w:r>
    </w:p>
    <w:p w14:paraId="764D2533" w14:textId="77777777" w:rsidR="00A07745" w:rsidRPr="0056639C" w:rsidRDefault="00A07745">
      <w:pPr>
        <w:spacing w:line="360" w:lineRule="auto"/>
        <w:rPr>
          <w:sz w:val="20"/>
          <w:szCs w:val="20"/>
        </w:rPr>
      </w:pPr>
    </w:p>
    <w:p w14:paraId="327BE5C0" w14:textId="765B590E" w:rsidR="000D1194" w:rsidRPr="0056639C" w:rsidRDefault="00000000" w:rsidP="00E448D7">
      <w:pPr>
        <w:spacing w:line="360" w:lineRule="auto"/>
        <w:rPr>
          <w:b/>
          <w:sz w:val="20"/>
          <w:szCs w:val="20"/>
        </w:rPr>
      </w:pPr>
      <w:r w:rsidRPr="0056639C">
        <w:rPr>
          <w:sz w:val="20"/>
          <w:szCs w:val="20"/>
        </w:rPr>
        <w:t xml:space="preserve">Although this large-scale study provides critical insight, further research is needed to explore whether the observed risk differs </w:t>
      </w:r>
      <w:r w:rsidR="0029029A" w:rsidRPr="0056639C">
        <w:rPr>
          <w:sz w:val="20"/>
          <w:szCs w:val="20"/>
        </w:rPr>
        <w:t>across DM subtypes</w:t>
      </w:r>
      <w:r w:rsidR="00544E4A" w:rsidRPr="0056639C">
        <w:rPr>
          <w:sz w:val="20"/>
          <w:szCs w:val="20"/>
        </w:rPr>
        <w:t xml:space="preserve">. Future investigations should focus on individualized anesthetic dosing strategies and structured postoperative follow-up, as these approaches may help reduce the risk of intraoperative awareness and enhance perioperative safety for patients with </w:t>
      </w:r>
      <w:r w:rsidR="0029029A" w:rsidRPr="0056639C">
        <w:rPr>
          <w:sz w:val="20"/>
          <w:szCs w:val="20"/>
        </w:rPr>
        <w:t>DM</w:t>
      </w:r>
      <w:r w:rsidR="00544E4A" w:rsidRPr="0056639C">
        <w:rPr>
          <w:sz w:val="20"/>
          <w:szCs w:val="20"/>
        </w:rPr>
        <w:t>.</w:t>
      </w:r>
      <w:r w:rsidR="000D1194" w:rsidRPr="0056639C">
        <w:rPr>
          <w:b/>
          <w:sz w:val="20"/>
          <w:szCs w:val="20"/>
        </w:rPr>
        <w:br w:type="page"/>
      </w:r>
    </w:p>
    <w:p w14:paraId="0B778815" w14:textId="39D16E29" w:rsidR="00A07745" w:rsidRPr="0056639C" w:rsidRDefault="00000000">
      <w:pPr>
        <w:spacing w:line="360" w:lineRule="auto"/>
        <w:rPr>
          <w:sz w:val="20"/>
          <w:szCs w:val="20"/>
        </w:rPr>
      </w:pPr>
      <w:r w:rsidRPr="0056639C">
        <w:rPr>
          <w:b/>
          <w:sz w:val="20"/>
          <w:szCs w:val="20"/>
        </w:rPr>
        <w:lastRenderedPageBreak/>
        <w:t>REFERENCES</w:t>
      </w:r>
    </w:p>
    <w:p w14:paraId="03AC4395" w14:textId="77777777" w:rsidR="00A07745" w:rsidRPr="0056639C" w:rsidRDefault="00A07745">
      <w:pPr>
        <w:spacing w:line="360" w:lineRule="auto"/>
        <w:rPr>
          <w:sz w:val="20"/>
          <w:szCs w:val="20"/>
        </w:rPr>
      </w:pPr>
    </w:p>
    <w:p w14:paraId="02A95637" w14:textId="77777777" w:rsidR="00A07745" w:rsidRPr="0056639C" w:rsidRDefault="00000000">
      <w:pPr>
        <w:numPr>
          <w:ilvl w:val="0"/>
          <w:numId w:val="3"/>
        </w:numPr>
        <w:spacing w:line="360" w:lineRule="auto"/>
        <w:rPr>
          <w:color w:val="212121"/>
          <w:sz w:val="20"/>
          <w:szCs w:val="20"/>
          <w:highlight w:val="white"/>
        </w:rPr>
      </w:pPr>
      <w:r w:rsidRPr="0056639C">
        <w:rPr>
          <w:sz w:val="20"/>
          <w:szCs w:val="20"/>
        </w:rPr>
        <w:t>Orser BA, Mazer CD, Baker AJ. Awareness during anesthesia. CMAJ. 2008 Jan 15;178(2):185–8.</w:t>
      </w:r>
    </w:p>
    <w:p w14:paraId="355D4077" w14:textId="77777777"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Bischoff P, </w:t>
      </w:r>
      <w:proofErr w:type="spellStart"/>
      <w:r w:rsidRPr="0056639C">
        <w:rPr>
          <w:sz w:val="20"/>
          <w:szCs w:val="20"/>
        </w:rPr>
        <w:t>Rundshagen</w:t>
      </w:r>
      <w:proofErr w:type="spellEnd"/>
      <w:r w:rsidRPr="0056639C">
        <w:rPr>
          <w:sz w:val="20"/>
          <w:szCs w:val="20"/>
        </w:rPr>
        <w:t xml:space="preserve"> I. Awareness under general anesthesia. </w:t>
      </w:r>
      <w:proofErr w:type="spellStart"/>
      <w:r w:rsidRPr="0056639C">
        <w:rPr>
          <w:sz w:val="20"/>
          <w:szCs w:val="20"/>
        </w:rPr>
        <w:t>Dtsch</w:t>
      </w:r>
      <w:proofErr w:type="spellEnd"/>
      <w:r w:rsidRPr="0056639C">
        <w:rPr>
          <w:sz w:val="20"/>
          <w:szCs w:val="20"/>
        </w:rPr>
        <w:t xml:space="preserve"> </w:t>
      </w:r>
      <w:proofErr w:type="spellStart"/>
      <w:r w:rsidRPr="0056639C">
        <w:rPr>
          <w:sz w:val="20"/>
          <w:szCs w:val="20"/>
        </w:rPr>
        <w:t>Arztebl</w:t>
      </w:r>
      <w:proofErr w:type="spellEnd"/>
      <w:r w:rsidRPr="0056639C">
        <w:rPr>
          <w:sz w:val="20"/>
          <w:szCs w:val="20"/>
        </w:rPr>
        <w:t xml:space="preserve"> Int. 2011 Jan;108(1-2):1–7.</w:t>
      </w:r>
    </w:p>
    <w:p w14:paraId="557EEFD2" w14:textId="19DDA730"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Pandit JJ, Cook TM, Jonker WR, O'Sullivan E. A national survey of </w:t>
      </w:r>
      <w:proofErr w:type="spellStart"/>
      <w:r w:rsidRPr="0056639C">
        <w:rPr>
          <w:sz w:val="20"/>
          <w:szCs w:val="20"/>
        </w:rPr>
        <w:t>anaesthetists</w:t>
      </w:r>
      <w:proofErr w:type="spellEnd"/>
      <w:r w:rsidRPr="0056639C">
        <w:rPr>
          <w:sz w:val="20"/>
          <w:szCs w:val="20"/>
        </w:rPr>
        <w:t xml:space="preserve"> (NAP5 Baseline) to estimate an annual incidence of accidental awareness during general </w:t>
      </w:r>
      <w:proofErr w:type="spellStart"/>
      <w:r w:rsidRPr="0056639C">
        <w:rPr>
          <w:sz w:val="20"/>
          <w:szCs w:val="20"/>
        </w:rPr>
        <w:t>anaesthesia</w:t>
      </w:r>
      <w:proofErr w:type="spellEnd"/>
      <w:r w:rsidRPr="0056639C">
        <w:rPr>
          <w:sz w:val="20"/>
          <w:szCs w:val="20"/>
        </w:rPr>
        <w:t xml:space="preserve"> in the UK. </w:t>
      </w:r>
      <w:proofErr w:type="spellStart"/>
      <w:r w:rsidRPr="0056639C">
        <w:rPr>
          <w:sz w:val="20"/>
          <w:szCs w:val="20"/>
        </w:rPr>
        <w:t>Anaesthesia</w:t>
      </w:r>
      <w:proofErr w:type="spellEnd"/>
      <w:r w:rsidRPr="0056639C">
        <w:rPr>
          <w:sz w:val="20"/>
          <w:szCs w:val="20"/>
        </w:rPr>
        <w:t>. 2013 Apr;68(4):343–53.</w:t>
      </w:r>
    </w:p>
    <w:p w14:paraId="01C32CED" w14:textId="77777777"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Andrade J, </w:t>
      </w:r>
      <w:proofErr w:type="spellStart"/>
      <w:r w:rsidRPr="0056639C">
        <w:rPr>
          <w:sz w:val="20"/>
          <w:szCs w:val="20"/>
        </w:rPr>
        <w:t>Deeprose</w:t>
      </w:r>
      <w:proofErr w:type="spellEnd"/>
      <w:r w:rsidRPr="0056639C">
        <w:rPr>
          <w:sz w:val="20"/>
          <w:szCs w:val="20"/>
        </w:rPr>
        <w:t xml:space="preserve"> C, Barker I. Awareness and memory function during </w:t>
      </w:r>
      <w:proofErr w:type="spellStart"/>
      <w:r w:rsidRPr="0056639C">
        <w:rPr>
          <w:sz w:val="20"/>
          <w:szCs w:val="20"/>
        </w:rPr>
        <w:t>paediatric</w:t>
      </w:r>
      <w:proofErr w:type="spellEnd"/>
      <w:r w:rsidRPr="0056639C">
        <w:rPr>
          <w:sz w:val="20"/>
          <w:szCs w:val="20"/>
        </w:rPr>
        <w:t xml:space="preserve"> </w:t>
      </w:r>
      <w:proofErr w:type="spellStart"/>
      <w:r w:rsidRPr="0056639C">
        <w:rPr>
          <w:sz w:val="20"/>
          <w:szCs w:val="20"/>
        </w:rPr>
        <w:t>anaesthesia</w:t>
      </w:r>
      <w:proofErr w:type="spellEnd"/>
      <w:r w:rsidRPr="0056639C">
        <w:rPr>
          <w:sz w:val="20"/>
          <w:szCs w:val="20"/>
        </w:rPr>
        <w:t>. Br J Anaesth. 2008 Mar;100(3):389–96.</w:t>
      </w:r>
    </w:p>
    <w:p w14:paraId="379F2736" w14:textId="6763935C" w:rsidR="00A07745" w:rsidRPr="0056639C" w:rsidRDefault="00000000">
      <w:pPr>
        <w:numPr>
          <w:ilvl w:val="0"/>
          <w:numId w:val="3"/>
        </w:numPr>
        <w:spacing w:line="360" w:lineRule="auto"/>
        <w:rPr>
          <w:color w:val="212121"/>
          <w:sz w:val="20"/>
          <w:szCs w:val="20"/>
          <w:highlight w:val="white"/>
        </w:rPr>
      </w:pPr>
      <w:proofErr w:type="spellStart"/>
      <w:r w:rsidRPr="0056639C">
        <w:rPr>
          <w:sz w:val="20"/>
          <w:szCs w:val="20"/>
        </w:rPr>
        <w:t>Jöhr</w:t>
      </w:r>
      <w:proofErr w:type="spellEnd"/>
      <w:r w:rsidRPr="0056639C">
        <w:rPr>
          <w:sz w:val="20"/>
          <w:szCs w:val="20"/>
        </w:rPr>
        <w:t xml:space="preserve"> M. </w:t>
      </w:r>
      <w:r w:rsidR="00481606" w:rsidRPr="0056639C">
        <w:rPr>
          <w:sz w:val="20"/>
          <w:szCs w:val="20"/>
        </w:rPr>
        <w:t xml:space="preserve">[Awareness: a problem in </w:t>
      </w:r>
      <w:proofErr w:type="spellStart"/>
      <w:r w:rsidR="00481606" w:rsidRPr="0056639C">
        <w:rPr>
          <w:sz w:val="20"/>
          <w:szCs w:val="20"/>
        </w:rPr>
        <w:t>paediatric</w:t>
      </w:r>
      <w:proofErr w:type="spellEnd"/>
      <w:r w:rsidR="00481606" w:rsidRPr="0056639C">
        <w:rPr>
          <w:sz w:val="20"/>
          <w:szCs w:val="20"/>
        </w:rPr>
        <w:t xml:space="preserve"> </w:t>
      </w:r>
      <w:proofErr w:type="spellStart"/>
      <w:r w:rsidR="00481606" w:rsidRPr="0056639C">
        <w:rPr>
          <w:sz w:val="20"/>
          <w:szCs w:val="20"/>
        </w:rPr>
        <w:t>anaesthesia</w:t>
      </w:r>
      <w:proofErr w:type="spellEnd"/>
      <w:r w:rsidR="00481606" w:rsidRPr="0056639C">
        <w:rPr>
          <w:sz w:val="20"/>
          <w:szCs w:val="20"/>
        </w:rPr>
        <w:t>?]</w:t>
      </w:r>
      <w:r w:rsidRPr="0056639C">
        <w:rPr>
          <w:sz w:val="20"/>
          <w:szCs w:val="20"/>
        </w:rPr>
        <w:t xml:space="preserve"> </w:t>
      </w:r>
      <w:proofErr w:type="spellStart"/>
      <w:r w:rsidRPr="0056639C">
        <w:rPr>
          <w:sz w:val="20"/>
          <w:szCs w:val="20"/>
        </w:rPr>
        <w:t>Anaesthesist</w:t>
      </w:r>
      <w:proofErr w:type="spellEnd"/>
      <w:r w:rsidRPr="0056639C">
        <w:rPr>
          <w:sz w:val="20"/>
          <w:szCs w:val="20"/>
        </w:rPr>
        <w:t>. 2006 Oct;55(10):1041–9. German.</w:t>
      </w:r>
    </w:p>
    <w:p w14:paraId="6FB0156A" w14:textId="77777777"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Houser CR, </w:t>
      </w:r>
      <w:proofErr w:type="spellStart"/>
      <w:r w:rsidRPr="0056639C">
        <w:rPr>
          <w:sz w:val="20"/>
          <w:szCs w:val="20"/>
        </w:rPr>
        <w:t>Esclapez</w:t>
      </w:r>
      <w:proofErr w:type="spellEnd"/>
      <w:r w:rsidRPr="0056639C">
        <w:rPr>
          <w:sz w:val="20"/>
          <w:szCs w:val="20"/>
        </w:rPr>
        <w:t xml:space="preserve"> M. Downregulation of the alpha5 subunit of the GABAA receptor in the pilocarpine model of temporal lobe epilepsy. Hippocampus. 2003;13(5):633–45.</w:t>
      </w:r>
    </w:p>
    <w:p w14:paraId="51326956" w14:textId="77777777"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Kim MC, Fricchione GL, Akeju O. Accidental awareness under general </w:t>
      </w:r>
      <w:proofErr w:type="spellStart"/>
      <w:r w:rsidRPr="0056639C">
        <w:rPr>
          <w:sz w:val="20"/>
          <w:szCs w:val="20"/>
        </w:rPr>
        <w:t>anaesthesia</w:t>
      </w:r>
      <w:proofErr w:type="spellEnd"/>
      <w:r w:rsidRPr="0056639C">
        <w:rPr>
          <w:sz w:val="20"/>
          <w:szCs w:val="20"/>
        </w:rPr>
        <w:t>: incidence, risk factors, and psychological management. BJA Educ. 2021 Apr;21(4):154–61.</w:t>
      </w:r>
    </w:p>
    <w:p w14:paraId="15FFDC64" w14:textId="77777777"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Liang J, Cagetti E, Olsen RW, Spigelman I. Altered pharmacology of synaptic and </w:t>
      </w:r>
      <w:proofErr w:type="spellStart"/>
      <w:r w:rsidRPr="0056639C">
        <w:rPr>
          <w:sz w:val="20"/>
          <w:szCs w:val="20"/>
        </w:rPr>
        <w:t>extrasynaptic</w:t>
      </w:r>
      <w:proofErr w:type="spellEnd"/>
      <w:r w:rsidRPr="0056639C">
        <w:rPr>
          <w:sz w:val="20"/>
          <w:szCs w:val="20"/>
        </w:rPr>
        <w:t xml:space="preserve"> GABAA receptors on CA1 hippocampal neurons is consistent with subunit changes in a model of alcohol withdrawal and dependence. J </w:t>
      </w:r>
      <w:proofErr w:type="spellStart"/>
      <w:r w:rsidRPr="0056639C">
        <w:rPr>
          <w:sz w:val="20"/>
          <w:szCs w:val="20"/>
        </w:rPr>
        <w:t>Pharmacol</w:t>
      </w:r>
      <w:proofErr w:type="spellEnd"/>
      <w:r w:rsidRPr="0056639C">
        <w:rPr>
          <w:sz w:val="20"/>
          <w:szCs w:val="20"/>
        </w:rPr>
        <w:t xml:space="preserve"> Exp Ther. 2004 Sep;310(3):1234–45.</w:t>
      </w:r>
    </w:p>
    <w:p w14:paraId="13B69B22" w14:textId="77777777"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Sandin RH, Enlund G, Samuelsson P, </w:t>
      </w:r>
      <w:proofErr w:type="spellStart"/>
      <w:r w:rsidRPr="0056639C">
        <w:rPr>
          <w:sz w:val="20"/>
          <w:szCs w:val="20"/>
        </w:rPr>
        <w:t>Lennmarken</w:t>
      </w:r>
      <w:proofErr w:type="spellEnd"/>
      <w:r w:rsidRPr="0056639C">
        <w:rPr>
          <w:sz w:val="20"/>
          <w:szCs w:val="20"/>
        </w:rPr>
        <w:t xml:space="preserve"> C. Awareness during </w:t>
      </w:r>
      <w:proofErr w:type="spellStart"/>
      <w:r w:rsidRPr="0056639C">
        <w:rPr>
          <w:sz w:val="20"/>
          <w:szCs w:val="20"/>
        </w:rPr>
        <w:t>anaesthesia</w:t>
      </w:r>
      <w:proofErr w:type="spellEnd"/>
      <w:r w:rsidRPr="0056639C">
        <w:rPr>
          <w:sz w:val="20"/>
          <w:szCs w:val="20"/>
        </w:rPr>
        <w:t>: a prospective case study. Lancet. 2000 Feb 26;355(9205):707–11.</w:t>
      </w:r>
    </w:p>
    <w:p w14:paraId="5F6A20AC" w14:textId="77777777" w:rsidR="00A07745" w:rsidRPr="0056639C" w:rsidRDefault="00000000">
      <w:pPr>
        <w:numPr>
          <w:ilvl w:val="0"/>
          <w:numId w:val="3"/>
        </w:numPr>
        <w:spacing w:line="360" w:lineRule="auto"/>
        <w:rPr>
          <w:color w:val="212121"/>
          <w:sz w:val="20"/>
          <w:szCs w:val="20"/>
          <w:highlight w:val="white"/>
        </w:rPr>
      </w:pPr>
      <w:proofErr w:type="spellStart"/>
      <w:r w:rsidRPr="0056639C">
        <w:rPr>
          <w:sz w:val="20"/>
          <w:szCs w:val="20"/>
        </w:rPr>
        <w:t>Errando</w:t>
      </w:r>
      <w:proofErr w:type="spellEnd"/>
      <w:r w:rsidRPr="0056639C">
        <w:rPr>
          <w:sz w:val="20"/>
          <w:szCs w:val="20"/>
        </w:rPr>
        <w:t xml:space="preserve"> CL, Sigl JC, Robles M, Calabuig E, García J, </w:t>
      </w:r>
      <w:proofErr w:type="spellStart"/>
      <w:r w:rsidRPr="0056639C">
        <w:rPr>
          <w:sz w:val="20"/>
          <w:szCs w:val="20"/>
        </w:rPr>
        <w:t>Arocas</w:t>
      </w:r>
      <w:proofErr w:type="spellEnd"/>
      <w:r w:rsidRPr="0056639C">
        <w:rPr>
          <w:sz w:val="20"/>
          <w:szCs w:val="20"/>
        </w:rPr>
        <w:t xml:space="preserve"> F, et al. Awareness with recall during general </w:t>
      </w:r>
      <w:proofErr w:type="spellStart"/>
      <w:r w:rsidRPr="0056639C">
        <w:rPr>
          <w:sz w:val="20"/>
          <w:szCs w:val="20"/>
        </w:rPr>
        <w:t>anaesthesia</w:t>
      </w:r>
      <w:proofErr w:type="spellEnd"/>
      <w:r w:rsidRPr="0056639C">
        <w:rPr>
          <w:sz w:val="20"/>
          <w:szCs w:val="20"/>
        </w:rPr>
        <w:t>: a prospective observational evaluation of 4001 patients. Br J Anaesth. 2008 Aug;101(2):178–85.</w:t>
      </w:r>
    </w:p>
    <w:p w14:paraId="05743E9B" w14:textId="72190FBA"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Cornelius BW. Patients with type 2 diabetes: anesthetic management in the ambulatory setting. Part 1: pathophysiology and associated disease states. </w:t>
      </w:r>
      <w:proofErr w:type="spellStart"/>
      <w:r w:rsidRPr="0056639C">
        <w:rPr>
          <w:sz w:val="20"/>
          <w:szCs w:val="20"/>
        </w:rPr>
        <w:t>Anesth</w:t>
      </w:r>
      <w:proofErr w:type="spellEnd"/>
      <w:r w:rsidRPr="0056639C">
        <w:rPr>
          <w:sz w:val="20"/>
          <w:szCs w:val="20"/>
        </w:rPr>
        <w:t xml:space="preserve"> Prog. 2016;63(4):208–15.</w:t>
      </w:r>
    </w:p>
    <w:p w14:paraId="579264CC" w14:textId="5C09653C" w:rsidR="00A07745" w:rsidRPr="0056639C" w:rsidRDefault="00000000">
      <w:pPr>
        <w:numPr>
          <w:ilvl w:val="0"/>
          <w:numId w:val="3"/>
        </w:numPr>
        <w:spacing w:line="360" w:lineRule="auto"/>
        <w:rPr>
          <w:color w:val="212121"/>
          <w:sz w:val="20"/>
          <w:szCs w:val="20"/>
          <w:highlight w:val="white"/>
        </w:rPr>
      </w:pPr>
      <w:r w:rsidRPr="0056639C">
        <w:rPr>
          <w:sz w:val="20"/>
          <w:szCs w:val="20"/>
        </w:rPr>
        <w:t>Sheehy AM, Gabbay RA. An overview of preoperative glucose evaluation, management, and perioperative impact. J Diabetes Sci Technol. 2009</w:t>
      </w:r>
      <w:r w:rsidR="00481606" w:rsidRPr="0056639C">
        <w:rPr>
          <w:sz w:val="20"/>
          <w:szCs w:val="20"/>
        </w:rPr>
        <w:t xml:space="preserve"> Nov</w:t>
      </w:r>
      <w:r w:rsidRPr="0056639C">
        <w:rPr>
          <w:sz w:val="20"/>
          <w:szCs w:val="20"/>
        </w:rPr>
        <w:t>;3(6):1261–9.</w:t>
      </w:r>
    </w:p>
    <w:p w14:paraId="2631D18F" w14:textId="77777777" w:rsidR="00A07745" w:rsidRPr="00545FD4" w:rsidRDefault="00000000">
      <w:pPr>
        <w:numPr>
          <w:ilvl w:val="0"/>
          <w:numId w:val="3"/>
        </w:numPr>
        <w:spacing w:line="360" w:lineRule="auto"/>
        <w:rPr>
          <w:color w:val="212121"/>
          <w:sz w:val="20"/>
          <w:szCs w:val="20"/>
          <w:highlight w:val="white"/>
        </w:rPr>
      </w:pPr>
      <w:r w:rsidRPr="0056639C">
        <w:rPr>
          <w:sz w:val="20"/>
          <w:szCs w:val="20"/>
        </w:rPr>
        <w:t>Domino KB, Posner KL, Caplan RA, Cheney FW. Awareness during anesthesia: a closed claims analysis. Anesthesiology. 1999 Apr;90(4):1053–61.</w:t>
      </w:r>
    </w:p>
    <w:p w14:paraId="58104959" w14:textId="018EFF7E" w:rsidR="003F727E" w:rsidRPr="00545FD4" w:rsidRDefault="003F727E">
      <w:pPr>
        <w:numPr>
          <w:ilvl w:val="0"/>
          <w:numId w:val="3"/>
        </w:numPr>
        <w:spacing w:line="360" w:lineRule="auto"/>
        <w:rPr>
          <w:color w:val="212121"/>
          <w:sz w:val="20"/>
          <w:szCs w:val="20"/>
          <w:highlight w:val="white"/>
        </w:rPr>
      </w:pPr>
      <w:r w:rsidRPr="0056639C">
        <w:rPr>
          <w:color w:val="212121"/>
          <w:sz w:val="20"/>
          <w:szCs w:val="20"/>
        </w:rPr>
        <w:t xml:space="preserve">Nunes RAB, Neves PDMM, da Costa LMA, </w:t>
      </w:r>
      <w:proofErr w:type="spellStart"/>
      <w:r w:rsidRPr="0056639C">
        <w:rPr>
          <w:color w:val="212121"/>
          <w:sz w:val="20"/>
          <w:szCs w:val="20"/>
        </w:rPr>
        <w:t>Bachour</w:t>
      </w:r>
      <w:proofErr w:type="spellEnd"/>
      <w:r w:rsidRPr="0056639C">
        <w:rPr>
          <w:color w:val="212121"/>
          <w:sz w:val="20"/>
          <w:szCs w:val="20"/>
        </w:rPr>
        <w:t xml:space="preserve"> P, </w:t>
      </w:r>
      <w:proofErr w:type="spellStart"/>
      <w:r w:rsidRPr="0056639C">
        <w:rPr>
          <w:color w:val="212121"/>
          <w:sz w:val="20"/>
          <w:szCs w:val="20"/>
        </w:rPr>
        <w:t>Cantarelli</w:t>
      </w:r>
      <w:proofErr w:type="spellEnd"/>
      <w:r w:rsidRPr="0056639C">
        <w:rPr>
          <w:color w:val="212121"/>
          <w:sz w:val="20"/>
          <w:szCs w:val="20"/>
        </w:rPr>
        <w:t xml:space="preserve"> MJC, Oliveira GBF, et al. Five-year cardiovascular outcomes in patients with chronic myeloid leukemia treated with tyrosine kinase inhibitors. Front Cardiovasc Med. 2023 Feb;10:888366.</w:t>
      </w:r>
    </w:p>
    <w:p w14:paraId="2E211DEF" w14:textId="79F646EF" w:rsidR="00015EF0" w:rsidRPr="0056639C" w:rsidRDefault="00015EF0" w:rsidP="00015EF0">
      <w:pPr>
        <w:numPr>
          <w:ilvl w:val="0"/>
          <w:numId w:val="3"/>
        </w:numPr>
        <w:spacing w:line="360" w:lineRule="auto"/>
        <w:rPr>
          <w:color w:val="212121"/>
          <w:sz w:val="20"/>
          <w:szCs w:val="20"/>
          <w:highlight w:val="white"/>
        </w:rPr>
      </w:pPr>
      <w:r w:rsidRPr="0056639C">
        <w:rPr>
          <w:color w:val="212121"/>
          <w:sz w:val="20"/>
          <w:szCs w:val="20"/>
        </w:rPr>
        <w:t xml:space="preserve">Nunes RAB, Neves PDMM, da Costa LMA, </w:t>
      </w:r>
      <w:proofErr w:type="spellStart"/>
      <w:r w:rsidRPr="0056639C">
        <w:rPr>
          <w:color w:val="212121"/>
          <w:sz w:val="20"/>
          <w:szCs w:val="20"/>
        </w:rPr>
        <w:t>Bachour</w:t>
      </w:r>
      <w:proofErr w:type="spellEnd"/>
      <w:r w:rsidRPr="0056639C">
        <w:rPr>
          <w:color w:val="212121"/>
          <w:sz w:val="20"/>
          <w:szCs w:val="20"/>
        </w:rPr>
        <w:t xml:space="preserve"> P, </w:t>
      </w:r>
      <w:proofErr w:type="spellStart"/>
      <w:r w:rsidRPr="0056639C">
        <w:rPr>
          <w:color w:val="212121"/>
          <w:sz w:val="20"/>
          <w:szCs w:val="20"/>
        </w:rPr>
        <w:t>Cantarelli</w:t>
      </w:r>
      <w:proofErr w:type="spellEnd"/>
      <w:r w:rsidRPr="0056639C">
        <w:rPr>
          <w:color w:val="212121"/>
          <w:sz w:val="20"/>
          <w:szCs w:val="20"/>
        </w:rPr>
        <w:t xml:space="preserve"> MJC, Oliveira GBF, et al. Five-year cardiovascular outcomes in patients with chronic myeloid leukemia treated with imatinib, </w:t>
      </w:r>
      <w:r w:rsidRPr="0056639C">
        <w:rPr>
          <w:color w:val="212121"/>
          <w:sz w:val="20"/>
          <w:szCs w:val="20"/>
        </w:rPr>
        <w:lastRenderedPageBreak/>
        <w:t>dasatinib, or nilotinib: a cohort study using data from a large multinational collaborative network. Front Cardiovasc Med. 2023 Feb;10:888366.</w:t>
      </w:r>
    </w:p>
    <w:p w14:paraId="10DCEDC3" w14:textId="467D5492" w:rsidR="00FA4F00" w:rsidRPr="0056639C" w:rsidRDefault="00B55DE7">
      <w:pPr>
        <w:numPr>
          <w:ilvl w:val="0"/>
          <w:numId w:val="3"/>
        </w:numPr>
        <w:spacing w:line="360" w:lineRule="auto"/>
        <w:rPr>
          <w:color w:val="212121"/>
          <w:sz w:val="20"/>
          <w:szCs w:val="20"/>
          <w:highlight w:val="white"/>
        </w:rPr>
      </w:pPr>
      <w:r w:rsidRPr="0056639C">
        <w:rPr>
          <w:color w:val="212121"/>
          <w:sz w:val="20"/>
          <w:szCs w:val="20"/>
        </w:rPr>
        <w:t xml:space="preserve">Austin PC. Balance diagnostics for comparing the distribution of baseline covariates between treatment groups in propensity-score matched samples. Stat Med. 2009 Sep 20;28(25):3083–107. </w:t>
      </w:r>
    </w:p>
    <w:p w14:paraId="4708CC41" w14:textId="51224492" w:rsidR="00FA4F00" w:rsidRPr="0056639C" w:rsidRDefault="00FA4F00">
      <w:pPr>
        <w:numPr>
          <w:ilvl w:val="0"/>
          <w:numId w:val="3"/>
        </w:numPr>
        <w:spacing w:line="360" w:lineRule="auto"/>
        <w:rPr>
          <w:color w:val="212121"/>
          <w:sz w:val="20"/>
          <w:szCs w:val="20"/>
          <w:highlight w:val="white"/>
        </w:rPr>
      </w:pPr>
      <w:r w:rsidRPr="0056639C">
        <w:rPr>
          <w:sz w:val="20"/>
          <w:szCs w:val="20"/>
        </w:rPr>
        <w:t xml:space="preserve">Zhang Z, Kim HJ, </w:t>
      </w:r>
      <w:proofErr w:type="spellStart"/>
      <w:r w:rsidRPr="0056639C">
        <w:rPr>
          <w:sz w:val="20"/>
          <w:szCs w:val="20"/>
        </w:rPr>
        <w:t>Lonjon</w:t>
      </w:r>
      <w:proofErr w:type="spellEnd"/>
      <w:r w:rsidRPr="0056639C">
        <w:rPr>
          <w:sz w:val="20"/>
          <w:szCs w:val="20"/>
        </w:rPr>
        <w:t xml:space="preserve"> G, Zhu Y; written on behalf of AME Big-Data Clinical Trial Collaborative Group. Balance diagnostics after propensity score matching. </w:t>
      </w:r>
      <w:r w:rsidRPr="0056639C">
        <w:rPr>
          <w:rStyle w:val="Emphasis"/>
          <w:sz w:val="20"/>
          <w:szCs w:val="20"/>
        </w:rPr>
        <w:t>Ann Transl Med.</w:t>
      </w:r>
      <w:r w:rsidRPr="0056639C">
        <w:rPr>
          <w:sz w:val="20"/>
          <w:szCs w:val="20"/>
        </w:rPr>
        <w:t xml:space="preserve"> 2019 Jan;7(1):16. </w:t>
      </w:r>
    </w:p>
    <w:p w14:paraId="33A40B4A" w14:textId="429E1A72" w:rsidR="005A4F96" w:rsidRPr="0056639C" w:rsidRDefault="005A4F96" w:rsidP="005A4F96">
      <w:pPr>
        <w:numPr>
          <w:ilvl w:val="0"/>
          <w:numId w:val="3"/>
        </w:numPr>
        <w:spacing w:line="360" w:lineRule="auto"/>
        <w:rPr>
          <w:color w:val="212121"/>
          <w:sz w:val="20"/>
          <w:szCs w:val="20"/>
          <w:highlight w:val="white"/>
        </w:rPr>
      </w:pPr>
      <w:r w:rsidRPr="0056639C">
        <w:rPr>
          <w:color w:val="212121"/>
          <w:sz w:val="20"/>
          <w:szCs w:val="20"/>
        </w:rPr>
        <w:t xml:space="preserve">Gonzalez-Estrada A, Carrillo-Martin I, Renew JR, Rank MA, Campbell RL, </w:t>
      </w:r>
      <w:proofErr w:type="spellStart"/>
      <w:r w:rsidRPr="0056639C">
        <w:rPr>
          <w:color w:val="212121"/>
          <w:sz w:val="20"/>
          <w:szCs w:val="20"/>
        </w:rPr>
        <w:t>Volcheck</w:t>
      </w:r>
      <w:proofErr w:type="spellEnd"/>
      <w:r w:rsidRPr="0056639C">
        <w:rPr>
          <w:color w:val="212121"/>
          <w:sz w:val="20"/>
          <w:szCs w:val="20"/>
        </w:rPr>
        <w:t xml:space="preserve"> GW. Incidence of and risk factors for perioperative or periprocedural anaphylaxis in the United States from 2005 to 2014. Ann Allergy Asthma Immunol. 2021 Feb;126(2):180-6.e3. </w:t>
      </w:r>
    </w:p>
    <w:p w14:paraId="57D39D10" w14:textId="527B0E9E" w:rsidR="005A4F96" w:rsidRPr="0056639C" w:rsidRDefault="005A4F96">
      <w:pPr>
        <w:numPr>
          <w:ilvl w:val="0"/>
          <w:numId w:val="3"/>
        </w:numPr>
        <w:spacing w:line="360" w:lineRule="auto"/>
        <w:rPr>
          <w:color w:val="212121"/>
          <w:sz w:val="20"/>
          <w:szCs w:val="20"/>
          <w:highlight w:val="white"/>
        </w:rPr>
      </w:pPr>
      <w:r w:rsidRPr="0056639C">
        <w:rPr>
          <w:color w:val="212121"/>
          <w:sz w:val="20"/>
          <w:szCs w:val="20"/>
        </w:rPr>
        <w:t xml:space="preserve">Jayaraj AK, Siddiqui N, </w:t>
      </w:r>
      <w:proofErr w:type="spellStart"/>
      <w:r w:rsidRPr="0056639C">
        <w:rPr>
          <w:color w:val="212121"/>
          <w:sz w:val="20"/>
          <w:szCs w:val="20"/>
        </w:rPr>
        <w:t>Abdelghany</w:t>
      </w:r>
      <w:proofErr w:type="spellEnd"/>
      <w:r w:rsidRPr="0056639C">
        <w:rPr>
          <w:color w:val="212121"/>
          <w:sz w:val="20"/>
          <w:szCs w:val="20"/>
        </w:rPr>
        <w:t xml:space="preserve"> SMO, </w:t>
      </w:r>
      <w:proofErr w:type="spellStart"/>
      <w:r w:rsidRPr="0056639C">
        <w:rPr>
          <w:color w:val="212121"/>
          <w:sz w:val="20"/>
          <w:szCs w:val="20"/>
        </w:rPr>
        <w:t>Balki</w:t>
      </w:r>
      <w:proofErr w:type="spellEnd"/>
      <w:r w:rsidRPr="0056639C">
        <w:rPr>
          <w:color w:val="212121"/>
          <w:sz w:val="20"/>
          <w:szCs w:val="20"/>
        </w:rPr>
        <w:t xml:space="preserve"> M. Management of difficult and failed intubation in the general surgical population: a historical cohort study in a tertiary care </w:t>
      </w:r>
      <w:proofErr w:type="spellStart"/>
      <w:r w:rsidRPr="0056639C">
        <w:rPr>
          <w:color w:val="212121"/>
          <w:sz w:val="20"/>
          <w:szCs w:val="20"/>
        </w:rPr>
        <w:t>centre</w:t>
      </w:r>
      <w:proofErr w:type="spellEnd"/>
      <w:r w:rsidRPr="0056639C">
        <w:rPr>
          <w:color w:val="212121"/>
          <w:sz w:val="20"/>
          <w:szCs w:val="20"/>
        </w:rPr>
        <w:t xml:space="preserve">. Can J Anaesth. 2022 Apr;69(4):427-437. </w:t>
      </w:r>
    </w:p>
    <w:p w14:paraId="6041208E" w14:textId="73133AA9" w:rsidR="00A07745" w:rsidRPr="0056639C" w:rsidRDefault="00000000">
      <w:pPr>
        <w:numPr>
          <w:ilvl w:val="0"/>
          <w:numId w:val="3"/>
        </w:numPr>
        <w:spacing w:line="360" w:lineRule="auto"/>
        <w:rPr>
          <w:color w:val="212121"/>
          <w:sz w:val="20"/>
          <w:szCs w:val="20"/>
          <w:highlight w:val="white"/>
        </w:rPr>
      </w:pPr>
      <w:r w:rsidRPr="0056639C">
        <w:rPr>
          <w:sz w:val="20"/>
          <w:szCs w:val="20"/>
        </w:rPr>
        <w:t xml:space="preserve">Vinik AI, Erbas T, </w:t>
      </w:r>
      <w:proofErr w:type="spellStart"/>
      <w:r w:rsidRPr="0056639C">
        <w:rPr>
          <w:sz w:val="20"/>
          <w:szCs w:val="20"/>
        </w:rPr>
        <w:t>Casellini</w:t>
      </w:r>
      <w:proofErr w:type="spellEnd"/>
      <w:r w:rsidRPr="0056639C">
        <w:rPr>
          <w:sz w:val="20"/>
          <w:szCs w:val="20"/>
        </w:rPr>
        <w:t xml:space="preserve"> CM. Diabetic cardiac autonomic neuropathy, inflammation and cardiovascular disease. J Diabetes </w:t>
      </w:r>
      <w:proofErr w:type="spellStart"/>
      <w:r w:rsidRPr="0056639C">
        <w:rPr>
          <w:sz w:val="20"/>
          <w:szCs w:val="20"/>
        </w:rPr>
        <w:t>Investig</w:t>
      </w:r>
      <w:proofErr w:type="spellEnd"/>
      <w:r w:rsidRPr="0056639C">
        <w:rPr>
          <w:sz w:val="20"/>
          <w:szCs w:val="20"/>
        </w:rPr>
        <w:t>. 2013</w:t>
      </w:r>
      <w:r w:rsidR="00481606" w:rsidRPr="0056639C">
        <w:rPr>
          <w:sz w:val="20"/>
          <w:szCs w:val="20"/>
        </w:rPr>
        <w:t xml:space="preserve"> Jan</w:t>
      </w:r>
      <w:r w:rsidRPr="0056639C">
        <w:rPr>
          <w:sz w:val="20"/>
          <w:szCs w:val="20"/>
        </w:rPr>
        <w:t>;4(1):4–18.</w:t>
      </w:r>
    </w:p>
    <w:p w14:paraId="3D8ADDF9" w14:textId="77777777" w:rsidR="00A07745" w:rsidRPr="0056639C" w:rsidRDefault="00000000">
      <w:pPr>
        <w:numPr>
          <w:ilvl w:val="0"/>
          <w:numId w:val="3"/>
        </w:numPr>
        <w:spacing w:line="360" w:lineRule="auto"/>
        <w:rPr>
          <w:color w:val="212121"/>
          <w:sz w:val="20"/>
          <w:szCs w:val="20"/>
          <w:highlight w:val="white"/>
        </w:rPr>
      </w:pPr>
      <w:proofErr w:type="spellStart"/>
      <w:r w:rsidRPr="0056639C">
        <w:rPr>
          <w:sz w:val="20"/>
          <w:szCs w:val="20"/>
        </w:rPr>
        <w:t>Vithian</w:t>
      </w:r>
      <w:proofErr w:type="spellEnd"/>
      <w:r w:rsidRPr="0056639C">
        <w:rPr>
          <w:sz w:val="20"/>
          <w:szCs w:val="20"/>
        </w:rPr>
        <w:t xml:space="preserve"> K, Hurel S. Microvascular complications: pathophysiology and management. Clin Med (Lond). 2010 Oct;10(5):505–9.</w:t>
      </w:r>
    </w:p>
    <w:p w14:paraId="13727300" w14:textId="3830AE48" w:rsidR="00A07745" w:rsidRPr="00545FD4" w:rsidRDefault="00000000">
      <w:pPr>
        <w:numPr>
          <w:ilvl w:val="0"/>
          <w:numId w:val="3"/>
        </w:numPr>
        <w:spacing w:line="360" w:lineRule="auto"/>
        <w:rPr>
          <w:color w:val="212121"/>
          <w:sz w:val="20"/>
          <w:szCs w:val="20"/>
          <w:highlight w:val="white"/>
        </w:rPr>
      </w:pPr>
      <w:proofErr w:type="spellStart"/>
      <w:r w:rsidRPr="0056639C">
        <w:rPr>
          <w:sz w:val="20"/>
          <w:szCs w:val="20"/>
        </w:rPr>
        <w:t>Punjasawadwong</w:t>
      </w:r>
      <w:proofErr w:type="spellEnd"/>
      <w:r w:rsidRPr="0056639C">
        <w:rPr>
          <w:sz w:val="20"/>
          <w:szCs w:val="20"/>
        </w:rPr>
        <w:t xml:space="preserve"> Y, </w:t>
      </w:r>
      <w:proofErr w:type="spellStart"/>
      <w:r w:rsidRPr="0056639C">
        <w:rPr>
          <w:sz w:val="20"/>
          <w:szCs w:val="20"/>
        </w:rPr>
        <w:t>Boonjeungmonkol</w:t>
      </w:r>
      <w:proofErr w:type="spellEnd"/>
      <w:r w:rsidRPr="0056639C">
        <w:rPr>
          <w:sz w:val="20"/>
          <w:szCs w:val="20"/>
        </w:rPr>
        <w:t xml:space="preserve"> N, </w:t>
      </w:r>
      <w:proofErr w:type="spellStart"/>
      <w:r w:rsidRPr="0056639C">
        <w:rPr>
          <w:sz w:val="20"/>
          <w:szCs w:val="20"/>
        </w:rPr>
        <w:t>Phongchiewboon</w:t>
      </w:r>
      <w:proofErr w:type="spellEnd"/>
      <w:r w:rsidRPr="0056639C">
        <w:rPr>
          <w:sz w:val="20"/>
          <w:szCs w:val="20"/>
        </w:rPr>
        <w:t xml:space="preserve"> A. </w:t>
      </w:r>
      <w:proofErr w:type="spellStart"/>
      <w:r w:rsidRPr="0056639C">
        <w:rPr>
          <w:sz w:val="20"/>
          <w:szCs w:val="20"/>
        </w:rPr>
        <w:t>Bispectral</w:t>
      </w:r>
      <w:proofErr w:type="spellEnd"/>
      <w:r w:rsidRPr="0056639C">
        <w:rPr>
          <w:sz w:val="20"/>
          <w:szCs w:val="20"/>
        </w:rPr>
        <w:t xml:space="preserve"> index (BIS) monitor for improving </w:t>
      </w:r>
      <w:proofErr w:type="spellStart"/>
      <w:r w:rsidRPr="0056639C">
        <w:rPr>
          <w:sz w:val="20"/>
          <w:szCs w:val="20"/>
        </w:rPr>
        <w:t>anaesthetic</w:t>
      </w:r>
      <w:proofErr w:type="spellEnd"/>
      <w:r w:rsidRPr="0056639C">
        <w:rPr>
          <w:sz w:val="20"/>
          <w:szCs w:val="20"/>
        </w:rPr>
        <w:t xml:space="preserve"> delivery and postoperative recovery. Cochrane Database Syst Rev. 2014</w:t>
      </w:r>
      <w:r w:rsidR="00481606" w:rsidRPr="0056639C">
        <w:rPr>
          <w:sz w:val="20"/>
          <w:szCs w:val="20"/>
        </w:rPr>
        <w:t xml:space="preserve"> Jun</w:t>
      </w:r>
      <w:r w:rsidRPr="0056639C">
        <w:rPr>
          <w:sz w:val="20"/>
          <w:szCs w:val="20"/>
        </w:rPr>
        <w:t>;(6):CD003843.</w:t>
      </w:r>
    </w:p>
    <w:p w14:paraId="55486A08" w14:textId="62D06287" w:rsidR="00796052" w:rsidRPr="00545FD4" w:rsidRDefault="00796052">
      <w:pPr>
        <w:numPr>
          <w:ilvl w:val="0"/>
          <w:numId w:val="3"/>
        </w:numPr>
        <w:spacing w:line="360" w:lineRule="auto"/>
        <w:rPr>
          <w:color w:val="212121"/>
          <w:sz w:val="20"/>
          <w:szCs w:val="20"/>
          <w:highlight w:val="white"/>
        </w:rPr>
      </w:pPr>
      <w:r w:rsidRPr="0056639C">
        <w:rPr>
          <w:color w:val="212121"/>
          <w:sz w:val="20"/>
          <w:szCs w:val="20"/>
        </w:rPr>
        <w:t xml:space="preserve">Lewis SR, Pritchard MW, Fawcett LJ, </w:t>
      </w:r>
      <w:proofErr w:type="spellStart"/>
      <w:r w:rsidRPr="0056639C">
        <w:rPr>
          <w:color w:val="212121"/>
          <w:sz w:val="20"/>
          <w:szCs w:val="20"/>
        </w:rPr>
        <w:t>Punjasawadwong</w:t>
      </w:r>
      <w:proofErr w:type="spellEnd"/>
      <w:r w:rsidRPr="0056639C">
        <w:rPr>
          <w:color w:val="212121"/>
          <w:sz w:val="20"/>
          <w:szCs w:val="20"/>
        </w:rPr>
        <w:t xml:space="preserve"> Y. </w:t>
      </w:r>
      <w:proofErr w:type="spellStart"/>
      <w:r w:rsidRPr="0056639C">
        <w:rPr>
          <w:color w:val="212121"/>
          <w:sz w:val="20"/>
          <w:szCs w:val="20"/>
        </w:rPr>
        <w:t>Bispectral</w:t>
      </w:r>
      <w:proofErr w:type="spellEnd"/>
      <w:r w:rsidRPr="0056639C">
        <w:rPr>
          <w:color w:val="212121"/>
          <w:sz w:val="20"/>
          <w:szCs w:val="20"/>
        </w:rPr>
        <w:t xml:space="preserve"> index for improving intraoperative awareness and early postoperative recovery in adults. Cochrane Database Syst Rev. 2019 Sep;(9):CD003843.</w:t>
      </w:r>
    </w:p>
    <w:p w14:paraId="7551E14D" w14:textId="49FD0FE6" w:rsidR="004B75BB" w:rsidRPr="00545FD4" w:rsidRDefault="004B75BB">
      <w:pPr>
        <w:numPr>
          <w:ilvl w:val="0"/>
          <w:numId w:val="3"/>
        </w:numPr>
        <w:spacing w:line="360" w:lineRule="auto"/>
        <w:rPr>
          <w:color w:val="212121"/>
          <w:sz w:val="20"/>
          <w:szCs w:val="20"/>
          <w:highlight w:val="white"/>
        </w:rPr>
      </w:pPr>
      <w:r w:rsidRPr="0056639C">
        <w:rPr>
          <w:color w:val="212121"/>
          <w:sz w:val="20"/>
          <w:szCs w:val="20"/>
        </w:rPr>
        <w:t xml:space="preserve">Gunnarsson L, </w:t>
      </w:r>
      <w:proofErr w:type="spellStart"/>
      <w:r w:rsidRPr="0056639C">
        <w:rPr>
          <w:color w:val="212121"/>
          <w:sz w:val="20"/>
          <w:szCs w:val="20"/>
        </w:rPr>
        <w:t>Tokics</w:t>
      </w:r>
      <w:proofErr w:type="spellEnd"/>
      <w:r w:rsidRPr="0056639C">
        <w:rPr>
          <w:color w:val="212121"/>
          <w:sz w:val="20"/>
          <w:szCs w:val="20"/>
        </w:rPr>
        <w:t xml:space="preserve"> L, Lundquist H, </w:t>
      </w:r>
      <w:proofErr w:type="spellStart"/>
      <w:r w:rsidRPr="0056639C">
        <w:rPr>
          <w:color w:val="212121"/>
          <w:sz w:val="20"/>
          <w:szCs w:val="20"/>
        </w:rPr>
        <w:t>Brismar</w:t>
      </w:r>
      <w:proofErr w:type="spellEnd"/>
      <w:r w:rsidRPr="0056639C">
        <w:rPr>
          <w:color w:val="212121"/>
          <w:sz w:val="20"/>
          <w:szCs w:val="20"/>
        </w:rPr>
        <w:t xml:space="preserve"> B, Strandberg A, Berg B, </w:t>
      </w:r>
      <w:proofErr w:type="spellStart"/>
      <w:r w:rsidRPr="0056639C">
        <w:rPr>
          <w:color w:val="212121"/>
          <w:sz w:val="20"/>
          <w:szCs w:val="20"/>
        </w:rPr>
        <w:t>Hedenstierna</w:t>
      </w:r>
      <w:proofErr w:type="spellEnd"/>
      <w:r w:rsidRPr="0056639C">
        <w:rPr>
          <w:color w:val="212121"/>
          <w:sz w:val="20"/>
          <w:szCs w:val="20"/>
        </w:rPr>
        <w:t xml:space="preserve"> G. Chronic obstructive pulmonary disease and </w:t>
      </w:r>
      <w:proofErr w:type="spellStart"/>
      <w:r w:rsidRPr="0056639C">
        <w:rPr>
          <w:color w:val="212121"/>
          <w:sz w:val="20"/>
          <w:szCs w:val="20"/>
        </w:rPr>
        <w:t>anaesthesia</w:t>
      </w:r>
      <w:proofErr w:type="spellEnd"/>
      <w:r w:rsidRPr="0056639C">
        <w:rPr>
          <w:color w:val="212121"/>
          <w:sz w:val="20"/>
          <w:szCs w:val="20"/>
        </w:rPr>
        <w:t xml:space="preserve">: formation of atelectasis and gas exchange impairment. </w:t>
      </w:r>
      <w:proofErr w:type="spellStart"/>
      <w:r w:rsidRPr="0056639C">
        <w:rPr>
          <w:color w:val="212121"/>
          <w:sz w:val="20"/>
          <w:szCs w:val="20"/>
        </w:rPr>
        <w:t>Eur</w:t>
      </w:r>
      <w:proofErr w:type="spellEnd"/>
      <w:r w:rsidRPr="0056639C">
        <w:rPr>
          <w:color w:val="212121"/>
          <w:sz w:val="20"/>
          <w:szCs w:val="20"/>
        </w:rPr>
        <w:t xml:space="preserve"> Respir J. 1991 Oct;4(9):1106-1116.</w:t>
      </w:r>
    </w:p>
    <w:p w14:paraId="4B2AC50B" w14:textId="02B3DD1A" w:rsidR="004B75BB" w:rsidRPr="00545FD4" w:rsidRDefault="004B75BB">
      <w:pPr>
        <w:numPr>
          <w:ilvl w:val="0"/>
          <w:numId w:val="3"/>
        </w:numPr>
        <w:spacing w:line="360" w:lineRule="auto"/>
        <w:rPr>
          <w:color w:val="212121"/>
          <w:sz w:val="20"/>
          <w:szCs w:val="20"/>
          <w:highlight w:val="white"/>
        </w:rPr>
      </w:pPr>
      <w:r w:rsidRPr="0056639C">
        <w:rPr>
          <w:color w:val="212121"/>
          <w:sz w:val="20"/>
          <w:szCs w:val="20"/>
        </w:rPr>
        <w:t xml:space="preserve">Licker M, Schweizer A, Ellenberger C, Tschopp JM, Diaper J, Clergue F. Perioperative medical management of patients with COPD. Int J Chron Obstruct </w:t>
      </w:r>
      <w:proofErr w:type="spellStart"/>
      <w:r w:rsidRPr="0056639C">
        <w:rPr>
          <w:color w:val="212121"/>
          <w:sz w:val="20"/>
          <w:szCs w:val="20"/>
        </w:rPr>
        <w:t>Pulmon</w:t>
      </w:r>
      <w:proofErr w:type="spellEnd"/>
      <w:r w:rsidRPr="0056639C">
        <w:rPr>
          <w:color w:val="212121"/>
          <w:sz w:val="20"/>
          <w:szCs w:val="20"/>
        </w:rPr>
        <w:t xml:space="preserve"> Dis. 2007;2(4):493-515.</w:t>
      </w:r>
    </w:p>
    <w:p w14:paraId="19096134" w14:textId="5B96D74F" w:rsidR="003D72FA" w:rsidRDefault="004B75BB" w:rsidP="003D72FA">
      <w:pPr>
        <w:numPr>
          <w:ilvl w:val="0"/>
          <w:numId w:val="3"/>
        </w:numPr>
        <w:spacing w:line="360" w:lineRule="auto"/>
        <w:rPr>
          <w:color w:val="212121"/>
          <w:sz w:val="20"/>
          <w:szCs w:val="20"/>
          <w:highlight w:val="white"/>
        </w:rPr>
      </w:pPr>
      <w:r w:rsidRPr="0056639C">
        <w:rPr>
          <w:color w:val="212121"/>
          <w:sz w:val="20"/>
          <w:szCs w:val="20"/>
        </w:rPr>
        <w:t xml:space="preserve">McLean AJ, Morgan DJ. Clinical pharmacokinetics in patients with liver disease. Clin </w:t>
      </w:r>
      <w:proofErr w:type="spellStart"/>
      <w:r w:rsidRPr="0056639C">
        <w:rPr>
          <w:color w:val="212121"/>
          <w:sz w:val="20"/>
          <w:szCs w:val="20"/>
        </w:rPr>
        <w:t>Pharmacokinet</w:t>
      </w:r>
      <w:proofErr w:type="spellEnd"/>
      <w:r w:rsidRPr="0056639C">
        <w:rPr>
          <w:color w:val="212121"/>
          <w:sz w:val="20"/>
          <w:szCs w:val="20"/>
        </w:rPr>
        <w:t>. 1991 Jul;21(1):42-69.</w:t>
      </w:r>
    </w:p>
    <w:p w14:paraId="28918162" w14:textId="672AED5E" w:rsidR="003D72FA" w:rsidRPr="00545FD4" w:rsidRDefault="003D72FA" w:rsidP="003D72FA">
      <w:pPr>
        <w:numPr>
          <w:ilvl w:val="0"/>
          <w:numId w:val="3"/>
        </w:numPr>
        <w:spacing w:line="360" w:lineRule="auto"/>
        <w:rPr>
          <w:color w:val="212121"/>
          <w:sz w:val="20"/>
          <w:szCs w:val="20"/>
          <w:highlight w:val="white"/>
        </w:rPr>
      </w:pPr>
      <w:r w:rsidRPr="003D72FA">
        <w:rPr>
          <w:color w:val="212121"/>
          <w:sz w:val="20"/>
          <w:szCs w:val="20"/>
        </w:rPr>
        <w:t>Kuo CL, Duan Y, Grady J. Kuo CL, Duan Y, Grady J. Unconditional or conditional logistic regression model for age-matched case-control data? Front Public Health. 2018 Mar 2;6:57.</w:t>
      </w:r>
    </w:p>
    <w:p w14:paraId="626A87FB" w14:textId="385FCD39" w:rsidR="00A07745" w:rsidRPr="0056639C" w:rsidRDefault="00A07745">
      <w:pPr>
        <w:spacing w:line="360" w:lineRule="auto"/>
        <w:rPr>
          <w:b/>
          <w:sz w:val="20"/>
          <w:szCs w:val="20"/>
        </w:rPr>
      </w:pPr>
    </w:p>
    <w:p w14:paraId="2BEF9B46" w14:textId="77777777" w:rsidR="00A07745" w:rsidRPr="0056639C" w:rsidRDefault="00000000">
      <w:pPr>
        <w:spacing w:line="360" w:lineRule="auto"/>
        <w:rPr>
          <w:b/>
          <w:sz w:val="20"/>
          <w:szCs w:val="20"/>
        </w:rPr>
      </w:pPr>
      <w:r w:rsidRPr="00545FD4">
        <w:rPr>
          <w:sz w:val="20"/>
          <w:szCs w:val="20"/>
        </w:rPr>
        <w:br w:type="page"/>
      </w:r>
    </w:p>
    <w:p w14:paraId="2224A645" w14:textId="77777777" w:rsidR="00A07745" w:rsidRPr="0056639C" w:rsidRDefault="00000000">
      <w:pPr>
        <w:spacing w:line="360" w:lineRule="auto"/>
        <w:rPr>
          <w:sz w:val="20"/>
          <w:szCs w:val="20"/>
        </w:rPr>
      </w:pPr>
      <w:r w:rsidRPr="0056639C">
        <w:rPr>
          <w:b/>
          <w:sz w:val="20"/>
          <w:szCs w:val="20"/>
        </w:rPr>
        <w:lastRenderedPageBreak/>
        <w:t>FIGURES AND TABLES</w:t>
      </w:r>
    </w:p>
    <w:p w14:paraId="730B76BC" w14:textId="77777777" w:rsidR="00A07745" w:rsidRPr="0056639C" w:rsidRDefault="00A07745">
      <w:pPr>
        <w:spacing w:line="360" w:lineRule="auto"/>
        <w:rPr>
          <w:sz w:val="20"/>
          <w:szCs w:val="20"/>
        </w:rPr>
      </w:pPr>
    </w:p>
    <w:p w14:paraId="19D70A0D" w14:textId="77777777" w:rsidR="00A07745" w:rsidRPr="0056639C" w:rsidRDefault="00000000">
      <w:pPr>
        <w:spacing w:line="360" w:lineRule="auto"/>
        <w:rPr>
          <w:sz w:val="20"/>
          <w:szCs w:val="20"/>
        </w:rPr>
      </w:pPr>
      <w:r w:rsidRPr="0056639C">
        <w:rPr>
          <w:b/>
          <w:i/>
          <w:sz w:val="20"/>
          <w:szCs w:val="20"/>
        </w:rPr>
        <w:t xml:space="preserve">Figure 1: </w:t>
      </w:r>
      <w:r w:rsidRPr="0056639C">
        <w:rPr>
          <w:sz w:val="20"/>
          <w:szCs w:val="20"/>
        </w:rPr>
        <w:t xml:space="preserve"> Selection Criteria for Retrospective Cohort Study</w:t>
      </w:r>
    </w:p>
    <w:p w14:paraId="69A96305" w14:textId="77777777" w:rsidR="00A07745" w:rsidRPr="0056639C" w:rsidRDefault="00A07745">
      <w:pPr>
        <w:spacing w:line="360" w:lineRule="auto"/>
        <w:rPr>
          <w:sz w:val="20"/>
          <w:szCs w:val="20"/>
        </w:rPr>
      </w:pPr>
    </w:p>
    <w:p w14:paraId="569AFE52" w14:textId="77777777" w:rsidR="00F777C3" w:rsidRPr="00545FD4" w:rsidRDefault="00000000">
      <w:pPr>
        <w:rPr>
          <w:sz w:val="20"/>
          <w:szCs w:val="20"/>
        </w:rPr>
      </w:pPr>
      <w:r w:rsidRPr="0056639C">
        <w:rPr>
          <w:noProof/>
          <w:sz w:val="20"/>
          <w:szCs w:val="20"/>
        </w:rPr>
        <w:drawing>
          <wp:inline distT="114300" distB="114300" distL="114300" distR="114300" wp14:anchorId="7BBCC3D5" wp14:editId="13B1BDCA">
            <wp:extent cx="5943600" cy="2552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943600" cy="2552700"/>
                    </a:xfrm>
                    <a:prstGeom prst="rect">
                      <a:avLst/>
                    </a:prstGeom>
                    <a:ln/>
                  </pic:spPr>
                </pic:pic>
              </a:graphicData>
            </a:graphic>
          </wp:inline>
        </w:drawing>
      </w:r>
    </w:p>
    <w:p w14:paraId="15F988B5" w14:textId="6F428676" w:rsidR="009A4FE6" w:rsidRDefault="007A1711" w:rsidP="00071B0C">
      <w:pPr>
        <w:spacing w:line="360" w:lineRule="auto"/>
        <w:rPr>
          <w:sz w:val="20"/>
          <w:szCs w:val="20"/>
          <w:lang w:val="en-US"/>
        </w:rPr>
      </w:pPr>
      <w:r w:rsidRPr="0056639C">
        <w:rPr>
          <w:sz w:val="20"/>
          <w:szCs w:val="20"/>
          <w:lang w:val="en-US"/>
        </w:rPr>
        <w:t xml:space="preserve">Flow diagram of cohort selection from the </w:t>
      </w:r>
      <w:proofErr w:type="spellStart"/>
      <w:r w:rsidRPr="0056639C">
        <w:rPr>
          <w:sz w:val="20"/>
          <w:szCs w:val="20"/>
          <w:lang w:val="en-US"/>
        </w:rPr>
        <w:t>TriNetX</w:t>
      </w:r>
      <w:proofErr w:type="spellEnd"/>
      <w:r w:rsidRPr="0056639C">
        <w:rPr>
          <w:sz w:val="20"/>
          <w:szCs w:val="20"/>
          <w:lang w:val="en-US"/>
        </w:rPr>
        <w:t xml:space="preserve"> U.S. Collaborative Network (20</w:t>
      </w:r>
      <w:r w:rsidR="00D57301">
        <w:rPr>
          <w:sz w:val="20"/>
          <w:szCs w:val="20"/>
          <w:lang w:val="en-US"/>
        </w:rPr>
        <w:t>05</w:t>
      </w:r>
      <w:r w:rsidRPr="0056639C">
        <w:rPr>
          <w:sz w:val="20"/>
          <w:szCs w:val="20"/>
          <w:lang w:val="en-US"/>
        </w:rPr>
        <w:t>–202</w:t>
      </w:r>
      <w:r w:rsidR="00D57301">
        <w:rPr>
          <w:sz w:val="20"/>
          <w:szCs w:val="20"/>
          <w:lang w:val="en-US"/>
        </w:rPr>
        <w:t>5</w:t>
      </w:r>
      <w:r w:rsidRPr="0056639C">
        <w:rPr>
          <w:sz w:val="20"/>
          <w:szCs w:val="20"/>
          <w:lang w:val="en-US"/>
        </w:rPr>
        <w:t>). Patients receiving general anesthesia were identified, with MAC and regional-only cases excluded. After applying predefined inclusion/exclusion criteria and removing confounders, patients were categorized into diabetic and non-diabetic groups. A 1:1 propensity-score matching procedure produced balanced, equally sized cohorts for outcome analysis.</w:t>
      </w:r>
    </w:p>
    <w:p w14:paraId="565AFF46" w14:textId="77777777" w:rsidR="009A4FE6" w:rsidRDefault="009A4FE6">
      <w:pPr>
        <w:rPr>
          <w:sz w:val="20"/>
          <w:szCs w:val="20"/>
          <w:lang w:val="en-US"/>
        </w:rPr>
      </w:pPr>
      <w:r>
        <w:rPr>
          <w:sz w:val="20"/>
          <w:szCs w:val="20"/>
          <w:lang w:val="en-US"/>
        </w:rPr>
        <w:br w:type="page"/>
      </w:r>
    </w:p>
    <w:p w14:paraId="46D09F79" w14:textId="71111E7B" w:rsidR="009A4FE6" w:rsidRPr="0056639C" w:rsidRDefault="009A4FE6" w:rsidP="009A4FE6">
      <w:pPr>
        <w:spacing w:line="360" w:lineRule="auto"/>
        <w:rPr>
          <w:sz w:val="20"/>
          <w:szCs w:val="20"/>
        </w:rPr>
      </w:pPr>
      <w:r w:rsidRPr="0056639C">
        <w:rPr>
          <w:b/>
          <w:bCs/>
          <w:i/>
          <w:iCs/>
          <w:sz w:val="20"/>
          <w:szCs w:val="20"/>
        </w:rPr>
        <w:lastRenderedPageBreak/>
        <w:t xml:space="preserve">Figure </w:t>
      </w:r>
      <w:r>
        <w:rPr>
          <w:b/>
          <w:bCs/>
          <w:i/>
          <w:iCs/>
          <w:sz w:val="20"/>
          <w:szCs w:val="20"/>
        </w:rPr>
        <w:t>2</w:t>
      </w:r>
      <w:r w:rsidRPr="0056639C">
        <w:rPr>
          <w:b/>
          <w:bCs/>
          <w:i/>
          <w:iCs/>
          <w:sz w:val="20"/>
          <w:szCs w:val="20"/>
        </w:rPr>
        <w:t>:</w:t>
      </w:r>
      <w:r w:rsidRPr="0056639C">
        <w:rPr>
          <w:sz w:val="20"/>
          <w:szCs w:val="20"/>
        </w:rPr>
        <w:t xml:space="preserve"> Overall Outcome of Intraoperative Awareness in Diabetic vs. Non-Diabetic Patients Undergoing General Anesthesia</w:t>
      </w:r>
    </w:p>
    <w:p w14:paraId="4C82C2EB" w14:textId="77777777" w:rsidR="009A4FE6" w:rsidRPr="000463C7" w:rsidRDefault="009A4FE6" w:rsidP="009A4FE6">
      <w:pPr>
        <w:spacing w:line="360" w:lineRule="auto"/>
        <w:rPr>
          <w:sz w:val="20"/>
          <w:szCs w:val="20"/>
        </w:rPr>
      </w:pPr>
      <w:r w:rsidRPr="0056639C">
        <w:rPr>
          <w:b/>
          <w:bCs/>
          <w:i/>
          <w:iCs/>
          <w:noProof/>
          <w:color w:val="000000"/>
          <w:sz w:val="20"/>
          <w:szCs w:val="20"/>
          <w:bdr w:val="none" w:sz="0" w:space="0" w:color="auto" w:frame="1"/>
        </w:rPr>
        <w:drawing>
          <wp:inline distT="0" distB="0" distL="0" distR="0" wp14:anchorId="76ADB707" wp14:editId="015390BE">
            <wp:extent cx="5943600" cy="3492500"/>
            <wp:effectExtent l="0" t="0" r="0" b="0"/>
            <wp:docPr id="422130464" name="Picture 2"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3701" name="Picture 2" descr="A graph of a bar char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492500"/>
                    </a:xfrm>
                    <a:prstGeom prst="rect">
                      <a:avLst/>
                    </a:prstGeom>
                    <a:noFill/>
                    <a:ln>
                      <a:noFill/>
                    </a:ln>
                  </pic:spPr>
                </pic:pic>
              </a:graphicData>
            </a:graphic>
          </wp:inline>
        </w:drawing>
      </w:r>
    </w:p>
    <w:p w14:paraId="2248AFE7" w14:textId="4F7C82AB" w:rsidR="00A07745" w:rsidRPr="0056639C" w:rsidRDefault="009A4FE6" w:rsidP="009A4FE6">
      <w:pPr>
        <w:spacing w:line="360" w:lineRule="auto"/>
        <w:rPr>
          <w:sz w:val="20"/>
          <w:szCs w:val="20"/>
        </w:rPr>
      </w:pPr>
      <w:r w:rsidRPr="0056639C">
        <w:rPr>
          <w:sz w:val="20"/>
          <w:szCs w:val="20"/>
        </w:rPr>
        <w:t>Bars represent the number and percentage of patients with documented intraoperative awareness in each cohort after propensity-score matching. Intraoperative awareness occurred in 52 diabetic patients (0.027%) and 32 non-diabetic patients (0.017%), illustrating the higher incidence in the diabetic cohort.</w:t>
      </w:r>
      <w:r w:rsidR="007A1711" w:rsidRPr="00545FD4">
        <w:rPr>
          <w:sz w:val="20"/>
          <w:szCs w:val="20"/>
        </w:rPr>
        <w:br w:type="page"/>
      </w:r>
    </w:p>
    <w:p w14:paraId="5990F8C6" w14:textId="38CB51AA" w:rsidR="00A07745" w:rsidRPr="0056639C" w:rsidRDefault="00000000">
      <w:pPr>
        <w:spacing w:line="360" w:lineRule="auto"/>
        <w:rPr>
          <w:sz w:val="20"/>
          <w:szCs w:val="20"/>
        </w:rPr>
      </w:pPr>
      <w:r w:rsidRPr="0056639C">
        <w:rPr>
          <w:b/>
          <w:i/>
          <w:sz w:val="20"/>
          <w:szCs w:val="20"/>
        </w:rPr>
        <w:lastRenderedPageBreak/>
        <w:t xml:space="preserve">Figure </w:t>
      </w:r>
      <w:r w:rsidR="009A4FE6">
        <w:rPr>
          <w:b/>
          <w:i/>
          <w:sz w:val="20"/>
          <w:szCs w:val="20"/>
        </w:rPr>
        <w:t>3</w:t>
      </w:r>
      <w:r w:rsidRPr="0056639C">
        <w:rPr>
          <w:b/>
          <w:i/>
          <w:sz w:val="20"/>
          <w:szCs w:val="20"/>
        </w:rPr>
        <w:t>:</w:t>
      </w:r>
      <w:r w:rsidRPr="0056639C">
        <w:rPr>
          <w:sz w:val="20"/>
          <w:szCs w:val="20"/>
        </w:rPr>
        <w:t xml:space="preserve"> Incidence and Relative Risk of Intraoperative Awareness in Diabetic vs. Non-Diabetic Patients Undergoing General Anesthesia</w:t>
      </w:r>
    </w:p>
    <w:p w14:paraId="29A4A530" w14:textId="77777777" w:rsidR="00A07745" w:rsidRPr="0056639C" w:rsidRDefault="00A07745">
      <w:pPr>
        <w:rPr>
          <w:sz w:val="20"/>
          <w:szCs w:val="20"/>
        </w:rPr>
      </w:pPr>
    </w:p>
    <w:p w14:paraId="2C61F370" w14:textId="0A25AF11" w:rsidR="00A07745" w:rsidRPr="0056639C" w:rsidRDefault="00014797">
      <w:pPr>
        <w:jc w:val="center"/>
        <w:rPr>
          <w:sz w:val="20"/>
          <w:szCs w:val="20"/>
        </w:rPr>
      </w:pPr>
      <w:r w:rsidRPr="0056639C">
        <w:rPr>
          <w:noProof/>
          <w:color w:val="000000"/>
          <w:sz w:val="20"/>
          <w:szCs w:val="20"/>
          <w:bdr w:val="none" w:sz="0" w:space="0" w:color="auto" w:frame="1"/>
        </w:rPr>
        <w:drawing>
          <wp:inline distT="0" distB="0" distL="0" distR="0" wp14:anchorId="2A5F6327" wp14:editId="546E7DC4">
            <wp:extent cx="5943600" cy="2198370"/>
            <wp:effectExtent l="0" t="0" r="0" b="0"/>
            <wp:docPr id="1132530295" name="Picture 1" descr="A screenshot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30295" name="Picture 1" descr="A screenshot of a medical repor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198370"/>
                    </a:xfrm>
                    <a:prstGeom prst="rect">
                      <a:avLst/>
                    </a:prstGeom>
                    <a:noFill/>
                    <a:ln>
                      <a:noFill/>
                    </a:ln>
                  </pic:spPr>
                </pic:pic>
              </a:graphicData>
            </a:graphic>
          </wp:inline>
        </w:drawing>
      </w:r>
    </w:p>
    <w:p w14:paraId="44C4D0BA" w14:textId="7E786090" w:rsidR="00A07745" w:rsidRPr="0056639C" w:rsidRDefault="00F777C3">
      <w:pPr>
        <w:spacing w:line="360" w:lineRule="auto"/>
        <w:rPr>
          <w:sz w:val="20"/>
          <w:szCs w:val="20"/>
        </w:rPr>
      </w:pPr>
      <w:r w:rsidRPr="0056639C">
        <w:rPr>
          <w:sz w:val="20"/>
          <w:szCs w:val="20"/>
        </w:rPr>
        <w:t>This figure summarizes the overall incidence of intraoperative awareness and the corresponding relative risk comparing diabetic and non-diabetic patients after propensity-score matching. Diabetic patients experienced 52 awareness events (0.027%) compared with 32 (0.017%) in the non-diabetic cohort, corresponding to a relative risk of 1.625 (95% CI, 1.046–2.524).</w:t>
      </w:r>
    </w:p>
    <w:p w14:paraId="4D883C85" w14:textId="662D4085" w:rsidR="00A07745" w:rsidRPr="0056639C" w:rsidRDefault="00F777C3" w:rsidP="00545FD4">
      <w:pPr>
        <w:rPr>
          <w:sz w:val="20"/>
          <w:szCs w:val="20"/>
        </w:rPr>
      </w:pPr>
      <w:r w:rsidRPr="0056639C">
        <w:rPr>
          <w:sz w:val="20"/>
          <w:szCs w:val="20"/>
        </w:rPr>
        <w:br w:type="page"/>
      </w:r>
    </w:p>
    <w:p w14:paraId="4C0B13DC" w14:textId="3AA61276" w:rsidR="0072642A" w:rsidRPr="0056639C" w:rsidRDefault="00000000">
      <w:pPr>
        <w:spacing w:line="360" w:lineRule="auto"/>
        <w:rPr>
          <w:sz w:val="20"/>
          <w:szCs w:val="20"/>
        </w:rPr>
      </w:pPr>
      <w:r w:rsidRPr="0056639C">
        <w:rPr>
          <w:b/>
          <w:i/>
          <w:sz w:val="20"/>
          <w:szCs w:val="20"/>
        </w:rPr>
        <w:lastRenderedPageBreak/>
        <w:t>Table 1:</w:t>
      </w:r>
      <w:r w:rsidRPr="0056639C">
        <w:rPr>
          <w:sz w:val="20"/>
          <w:szCs w:val="20"/>
        </w:rPr>
        <w:t xml:space="preserve"> Baseline Demographic Characteristics of Diabetic and Non-Diabetic Patients Undergoing General Anesthesia Before and After Propensity-Score Matching</w:t>
      </w:r>
    </w:p>
    <w:p w14:paraId="49A89D78" w14:textId="77777777" w:rsidR="00C11677" w:rsidRPr="0056639C" w:rsidRDefault="00C11677" w:rsidP="00C11677">
      <w:pPr>
        <w:spacing w:line="360" w:lineRule="auto"/>
        <w:rPr>
          <w:sz w:val="20"/>
          <w:szCs w:val="20"/>
        </w:rPr>
      </w:pPr>
      <w:r w:rsidRPr="0056639C">
        <w:rPr>
          <w:sz w:val="20"/>
          <w:szCs w:val="20"/>
        </w:rPr>
        <w:t>Values are reported as mean ± standard deviation for continuous variables and n (%) for categorical variables. Standardized mean differences (SMDs) are shown to evaluate covariate balance; SMD &lt; 0.10 was considered indicative of adequate balance after matching.</w:t>
      </w:r>
    </w:p>
    <w:p w14:paraId="7B9466CC" w14:textId="77777777" w:rsidR="00C11677" w:rsidRPr="0056639C" w:rsidRDefault="00C11677">
      <w:pPr>
        <w:spacing w:line="360" w:lineRule="auto"/>
        <w:rPr>
          <w:sz w:val="20"/>
          <w:szCs w:val="20"/>
        </w:rPr>
      </w:pPr>
    </w:p>
    <w:tbl>
      <w:tblPr>
        <w:tblpPr w:leftFromText="180" w:rightFromText="180" w:topFromText="180" w:bottomFromText="180" w:vertAnchor="text"/>
        <w:tblW w:w="9892" w:type="dxa"/>
        <w:tblBorders>
          <w:top w:val="nil"/>
          <w:left w:val="nil"/>
          <w:bottom w:val="nil"/>
          <w:right w:val="nil"/>
          <w:insideH w:val="nil"/>
          <w:insideV w:val="nil"/>
        </w:tblBorders>
        <w:tblLayout w:type="fixed"/>
        <w:tblLook w:val="0600" w:firstRow="0" w:lastRow="0" w:firstColumn="0" w:lastColumn="0" w:noHBand="1" w:noVBand="1"/>
      </w:tblPr>
      <w:tblGrid>
        <w:gridCol w:w="1398"/>
        <w:gridCol w:w="1414"/>
        <w:gridCol w:w="1414"/>
        <w:gridCol w:w="1436"/>
        <w:gridCol w:w="1311"/>
        <w:gridCol w:w="1414"/>
        <w:gridCol w:w="1505"/>
      </w:tblGrid>
      <w:tr w:rsidR="00014797" w:rsidRPr="0056639C" w14:paraId="79E4D9AE" w14:textId="77777777" w:rsidTr="00E448D7">
        <w:trPr>
          <w:trHeight w:val="771"/>
        </w:trPr>
        <w:tc>
          <w:tcPr>
            <w:tcW w:w="1398"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tcPr>
          <w:p w14:paraId="357D7639" w14:textId="77777777" w:rsidR="00014797" w:rsidRPr="0056639C" w:rsidRDefault="00014797" w:rsidP="00640C34">
            <w:pPr>
              <w:spacing w:line="240" w:lineRule="auto"/>
              <w:rPr>
                <w:b/>
                <w:sz w:val="20"/>
                <w:szCs w:val="20"/>
              </w:rPr>
            </w:pPr>
            <w:r w:rsidRPr="0056639C">
              <w:rPr>
                <w:b/>
                <w:sz w:val="20"/>
                <w:szCs w:val="20"/>
              </w:rPr>
              <w:lastRenderedPageBreak/>
              <w:t>Variable</w:t>
            </w:r>
          </w:p>
        </w:tc>
        <w:tc>
          <w:tcPr>
            <w:tcW w:w="4264"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292D3150" w14:textId="77777777" w:rsidR="00014797" w:rsidRPr="0056639C" w:rsidRDefault="00014797" w:rsidP="00640C34">
            <w:pPr>
              <w:spacing w:line="240" w:lineRule="auto"/>
              <w:rPr>
                <w:b/>
                <w:sz w:val="20"/>
                <w:szCs w:val="20"/>
              </w:rPr>
            </w:pPr>
            <w:r w:rsidRPr="0056639C">
              <w:rPr>
                <w:b/>
                <w:sz w:val="20"/>
                <w:szCs w:val="20"/>
              </w:rPr>
              <w:t>Before Matching Patients (% of Cohort)</w:t>
            </w:r>
            <w:r w:rsidRPr="0056639C">
              <w:rPr>
                <w:b/>
                <w:sz w:val="20"/>
                <w:szCs w:val="20"/>
              </w:rPr>
              <w:br/>
            </w:r>
            <w:r w:rsidRPr="0056639C">
              <w:rPr>
                <w:b/>
                <w:sz w:val="20"/>
                <w:szCs w:val="20"/>
              </w:rPr>
              <w:br/>
            </w:r>
          </w:p>
          <w:p w14:paraId="45C9A447" w14:textId="77777777" w:rsidR="00014797" w:rsidRPr="0056639C" w:rsidRDefault="00014797" w:rsidP="00640C34">
            <w:pPr>
              <w:spacing w:line="240" w:lineRule="auto"/>
              <w:rPr>
                <w:b/>
                <w:sz w:val="20"/>
                <w:szCs w:val="20"/>
              </w:rPr>
            </w:pPr>
            <w:r w:rsidRPr="0056639C">
              <w:rPr>
                <w:b/>
                <w:sz w:val="20"/>
                <w:szCs w:val="20"/>
              </w:rPr>
              <w:br/>
            </w:r>
            <w:r w:rsidRPr="0056639C">
              <w:rPr>
                <w:b/>
                <w:sz w:val="20"/>
                <w:szCs w:val="20"/>
              </w:rPr>
              <w:br/>
            </w:r>
          </w:p>
        </w:tc>
        <w:tc>
          <w:tcPr>
            <w:tcW w:w="4230"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63B005F1" w14:textId="77777777" w:rsidR="00014797" w:rsidRPr="0056639C" w:rsidRDefault="00014797" w:rsidP="00640C34">
            <w:pPr>
              <w:spacing w:line="240" w:lineRule="auto"/>
              <w:rPr>
                <w:b/>
                <w:sz w:val="20"/>
                <w:szCs w:val="20"/>
              </w:rPr>
            </w:pPr>
            <w:r w:rsidRPr="0056639C">
              <w:rPr>
                <w:b/>
                <w:sz w:val="20"/>
                <w:szCs w:val="20"/>
              </w:rPr>
              <w:t>After Matching</w:t>
            </w:r>
            <w:r w:rsidRPr="0056639C">
              <w:rPr>
                <w:b/>
                <w:sz w:val="20"/>
                <w:szCs w:val="20"/>
              </w:rPr>
              <w:br/>
              <w:t>Patients (% of Cohort)</w:t>
            </w:r>
          </w:p>
        </w:tc>
      </w:tr>
      <w:tr w:rsidR="00014797" w:rsidRPr="0056639C" w14:paraId="75B28537" w14:textId="77777777" w:rsidTr="00E448D7">
        <w:trPr>
          <w:trHeight w:val="771"/>
        </w:trPr>
        <w:tc>
          <w:tcPr>
            <w:tcW w:w="1398" w:type="dxa"/>
            <w:vMerge/>
            <w:tcBorders>
              <w:top w:val="single" w:sz="6" w:space="0" w:color="000000"/>
              <w:left w:val="single" w:sz="6" w:space="0" w:color="000000"/>
              <w:bottom w:val="single" w:sz="6" w:space="0" w:color="000000"/>
              <w:right w:val="single" w:sz="6" w:space="0" w:color="000000"/>
            </w:tcBorders>
            <w:tcMar>
              <w:top w:w="0" w:type="dxa"/>
              <w:bottom w:w="0" w:type="dxa"/>
            </w:tcMar>
          </w:tcPr>
          <w:p w14:paraId="370C7820" w14:textId="77777777" w:rsidR="00014797" w:rsidRPr="0056639C" w:rsidRDefault="00014797" w:rsidP="00640C34">
            <w:pPr>
              <w:spacing w:line="240" w:lineRule="auto"/>
              <w:rPr>
                <w:sz w:val="20"/>
                <w:szCs w:val="20"/>
              </w:rPr>
            </w:pP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4694434" w14:textId="77777777" w:rsidR="00014797" w:rsidRPr="0056639C" w:rsidRDefault="00014797" w:rsidP="00640C34">
            <w:pPr>
              <w:spacing w:line="240" w:lineRule="auto"/>
              <w:jc w:val="center"/>
              <w:rPr>
                <w:sz w:val="20"/>
                <w:szCs w:val="20"/>
              </w:rPr>
            </w:pPr>
            <w:r w:rsidRPr="0056639C">
              <w:rPr>
                <w:sz w:val="20"/>
                <w:szCs w:val="20"/>
              </w:rPr>
              <w:t>No Diabetes (n = 1,156,118)</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056A8444" w14:textId="77777777" w:rsidR="00014797" w:rsidRPr="0056639C" w:rsidRDefault="00014797" w:rsidP="00640C34">
            <w:pPr>
              <w:spacing w:line="240" w:lineRule="auto"/>
              <w:jc w:val="center"/>
              <w:rPr>
                <w:sz w:val="20"/>
                <w:szCs w:val="20"/>
              </w:rPr>
            </w:pPr>
            <w:r w:rsidRPr="0056639C">
              <w:rPr>
                <w:sz w:val="20"/>
                <w:szCs w:val="20"/>
              </w:rPr>
              <w:t>Diabetes (n = 190,237)</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6260E477" w14:textId="77777777" w:rsidR="00014797" w:rsidRPr="0056639C" w:rsidRDefault="00014797" w:rsidP="00640C34">
            <w:pPr>
              <w:spacing w:line="240" w:lineRule="auto"/>
              <w:jc w:val="center"/>
              <w:rPr>
                <w:sz w:val="20"/>
                <w:szCs w:val="20"/>
              </w:rPr>
            </w:pPr>
            <w:r w:rsidRPr="0056639C">
              <w:rPr>
                <w:sz w:val="20"/>
                <w:szCs w:val="20"/>
              </w:rPr>
              <w:t>Standardized Difference</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3A29992D" w14:textId="77777777" w:rsidR="00014797" w:rsidRPr="0056639C" w:rsidRDefault="00014797" w:rsidP="00640C34">
            <w:pPr>
              <w:spacing w:line="240" w:lineRule="auto"/>
              <w:jc w:val="center"/>
              <w:rPr>
                <w:sz w:val="20"/>
                <w:szCs w:val="20"/>
              </w:rPr>
            </w:pPr>
            <w:r w:rsidRPr="0056639C">
              <w:rPr>
                <w:sz w:val="20"/>
                <w:szCs w:val="20"/>
              </w:rPr>
              <w:t>No Diabetes (n = 189,787)</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8E6150F" w14:textId="77777777" w:rsidR="00014797" w:rsidRPr="0056639C" w:rsidRDefault="00014797" w:rsidP="00640C34">
            <w:pPr>
              <w:spacing w:line="240" w:lineRule="auto"/>
              <w:jc w:val="center"/>
              <w:rPr>
                <w:sz w:val="20"/>
                <w:szCs w:val="20"/>
              </w:rPr>
            </w:pPr>
            <w:r w:rsidRPr="0056639C">
              <w:rPr>
                <w:sz w:val="20"/>
                <w:szCs w:val="20"/>
              </w:rPr>
              <w:t>Diabetes (n = 189,787)</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5DC2C5C0" w14:textId="77777777" w:rsidR="00014797" w:rsidRPr="0056639C" w:rsidRDefault="00014797" w:rsidP="00640C34">
            <w:pPr>
              <w:spacing w:line="240" w:lineRule="auto"/>
              <w:jc w:val="center"/>
              <w:rPr>
                <w:sz w:val="20"/>
                <w:szCs w:val="20"/>
              </w:rPr>
            </w:pPr>
            <w:r w:rsidRPr="0056639C">
              <w:rPr>
                <w:sz w:val="20"/>
                <w:szCs w:val="20"/>
              </w:rPr>
              <w:t>Standardized Difference</w:t>
            </w:r>
          </w:p>
        </w:tc>
      </w:tr>
      <w:tr w:rsidR="00014797" w:rsidRPr="0056639C" w14:paraId="57643257"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0E8CBC40" w14:textId="77777777" w:rsidR="00014797" w:rsidRPr="0056639C" w:rsidRDefault="00014797" w:rsidP="00640C34">
            <w:pPr>
              <w:spacing w:line="240" w:lineRule="auto"/>
              <w:jc w:val="center"/>
              <w:rPr>
                <w:sz w:val="20"/>
                <w:szCs w:val="20"/>
              </w:rPr>
            </w:pPr>
            <w:r w:rsidRPr="0056639C">
              <w:rPr>
                <w:sz w:val="20"/>
                <w:szCs w:val="20"/>
              </w:rPr>
              <w:t>Age at Index</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81E9E12" w14:textId="77777777" w:rsidR="00014797" w:rsidRPr="0056639C" w:rsidRDefault="00014797" w:rsidP="00640C34">
            <w:pPr>
              <w:spacing w:line="240" w:lineRule="auto"/>
              <w:jc w:val="center"/>
              <w:rPr>
                <w:sz w:val="20"/>
                <w:szCs w:val="20"/>
              </w:rPr>
            </w:pPr>
            <w:r w:rsidRPr="0056639C">
              <w:rPr>
                <w:sz w:val="20"/>
                <w:szCs w:val="20"/>
              </w:rPr>
              <w:t>41.7 ± 21.3</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9A2E291" w14:textId="77777777" w:rsidR="00014797" w:rsidRPr="0056639C" w:rsidRDefault="00014797" w:rsidP="00640C34">
            <w:pPr>
              <w:spacing w:line="240" w:lineRule="auto"/>
              <w:jc w:val="center"/>
              <w:rPr>
                <w:sz w:val="20"/>
                <w:szCs w:val="20"/>
              </w:rPr>
            </w:pPr>
            <w:r w:rsidRPr="0056639C">
              <w:rPr>
                <w:sz w:val="20"/>
                <w:szCs w:val="20"/>
              </w:rPr>
              <w:t>57 ± 15.1</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8DAC032" w14:textId="77777777" w:rsidR="00014797" w:rsidRPr="0056639C" w:rsidRDefault="00014797" w:rsidP="00640C34">
            <w:pPr>
              <w:spacing w:line="240" w:lineRule="auto"/>
              <w:jc w:val="center"/>
              <w:rPr>
                <w:sz w:val="20"/>
                <w:szCs w:val="20"/>
              </w:rPr>
            </w:pPr>
            <w:r w:rsidRPr="0056639C">
              <w:rPr>
                <w:sz w:val="20"/>
                <w:szCs w:val="20"/>
              </w:rPr>
              <w:t>0.8308</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5B0C311A" w14:textId="77777777" w:rsidR="00014797" w:rsidRPr="0056639C" w:rsidRDefault="00014797" w:rsidP="00640C34">
            <w:pPr>
              <w:spacing w:line="240" w:lineRule="auto"/>
              <w:jc w:val="center"/>
              <w:rPr>
                <w:sz w:val="20"/>
                <w:szCs w:val="20"/>
              </w:rPr>
            </w:pPr>
            <w:r w:rsidRPr="0056639C">
              <w:rPr>
                <w:sz w:val="20"/>
                <w:szCs w:val="20"/>
              </w:rPr>
              <w:t>57.4 ± 15.6</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DC4A4B5" w14:textId="77777777" w:rsidR="00014797" w:rsidRPr="0056639C" w:rsidRDefault="00014797" w:rsidP="00640C34">
            <w:pPr>
              <w:spacing w:line="240" w:lineRule="auto"/>
              <w:jc w:val="center"/>
              <w:rPr>
                <w:sz w:val="20"/>
                <w:szCs w:val="20"/>
              </w:rPr>
            </w:pPr>
            <w:r w:rsidRPr="0056639C">
              <w:rPr>
                <w:sz w:val="20"/>
                <w:szCs w:val="20"/>
              </w:rPr>
              <w:t>57 ± 15.1</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7BEFB407" w14:textId="77777777" w:rsidR="00014797" w:rsidRPr="0056639C" w:rsidRDefault="00014797" w:rsidP="00640C34">
            <w:pPr>
              <w:spacing w:line="240" w:lineRule="auto"/>
              <w:jc w:val="center"/>
              <w:rPr>
                <w:sz w:val="20"/>
                <w:szCs w:val="20"/>
              </w:rPr>
            </w:pPr>
            <w:r w:rsidRPr="0056639C">
              <w:rPr>
                <w:sz w:val="20"/>
                <w:szCs w:val="20"/>
              </w:rPr>
              <w:t>0.0273</w:t>
            </w:r>
          </w:p>
        </w:tc>
      </w:tr>
      <w:tr w:rsidR="00014797" w:rsidRPr="0056639C" w14:paraId="58B15775" w14:textId="77777777" w:rsidTr="00E448D7">
        <w:trPr>
          <w:trHeight w:val="514"/>
        </w:trPr>
        <w:tc>
          <w:tcPr>
            <w:tcW w:w="9892" w:type="dxa"/>
            <w:gridSpan w:val="7"/>
            <w:tcBorders>
              <w:top w:val="single" w:sz="6" w:space="0" w:color="000000"/>
              <w:left w:val="single" w:sz="6" w:space="0" w:color="000000"/>
              <w:bottom w:val="single" w:sz="6" w:space="0" w:color="000000"/>
              <w:right w:val="single" w:sz="6" w:space="0" w:color="000000"/>
            </w:tcBorders>
            <w:tcMar>
              <w:top w:w="0" w:type="dxa"/>
              <w:bottom w:w="0" w:type="dxa"/>
            </w:tcMar>
          </w:tcPr>
          <w:p w14:paraId="17F62335" w14:textId="77777777" w:rsidR="00014797" w:rsidRPr="0056639C" w:rsidRDefault="00014797" w:rsidP="00640C34">
            <w:pPr>
              <w:spacing w:line="240" w:lineRule="auto"/>
              <w:jc w:val="center"/>
              <w:rPr>
                <w:sz w:val="20"/>
                <w:szCs w:val="20"/>
              </w:rPr>
            </w:pPr>
            <w:r w:rsidRPr="0056639C">
              <w:rPr>
                <w:sz w:val="20"/>
                <w:szCs w:val="20"/>
              </w:rPr>
              <w:t>Gender</w:t>
            </w:r>
          </w:p>
        </w:tc>
      </w:tr>
      <w:tr w:rsidR="00014797" w:rsidRPr="0056639C" w14:paraId="2573D6A0" w14:textId="77777777" w:rsidTr="00E448D7">
        <w:trPr>
          <w:trHeight w:val="771"/>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26750DFB" w14:textId="77777777" w:rsidR="00014797" w:rsidRPr="0056639C" w:rsidRDefault="00014797" w:rsidP="00640C34">
            <w:pPr>
              <w:spacing w:line="240" w:lineRule="auto"/>
              <w:jc w:val="center"/>
              <w:rPr>
                <w:sz w:val="20"/>
                <w:szCs w:val="20"/>
              </w:rPr>
            </w:pPr>
            <w:r w:rsidRPr="0056639C">
              <w:rPr>
                <w:sz w:val="20"/>
                <w:szCs w:val="20"/>
              </w:rPr>
              <w:t>Female</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3A60DED" w14:textId="77777777" w:rsidR="00014797" w:rsidRPr="0056639C" w:rsidRDefault="00014797" w:rsidP="00640C34">
            <w:pPr>
              <w:spacing w:line="240" w:lineRule="auto"/>
              <w:jc w:val="center"/>
              <w:rPr>
                <w:sz w:val="20"/>
                <w:szCs w:val="20"/>
              </w:rPr>
            </w:pPr>
            <w:r w:rsidRPr="0056639C">
              <w:rPr>
                <w:sz w:val="20"/>
                <w:szCs w:val="20"/>
              </w:rPr>
              <w:t>660,704 (57.585%)</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47142B2" w14:textId="77777777" w:rsidR="00014797" w:rsidRPr="0056639C" w:rsidRDefault="00014797" w:rsidP="00640C34">
            <w:pPr>
              <w:spacing w:line="240" w:lineRule="auto"/>
              <w:jc w:val="center"/>
              <w:rPr>
                <w:sz w:val="20"/>
                <w:szCs w:val="20"/>
              </w:rPr>
            </w:pPr>
            <w:r w:rsidRPr="0056639C">
              <w:rPr>
                <w:sz w:val="20"/>
                <w:szCs w:val="20"/>
              </w:rPr>
              <w:t>110,675 (58.304%)</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48187B68" w14:textId="77777777" w:rsidR="00014797" w:rsidRPr="0056639C" w:rsidRDefault="00014797" w:rsidP="00640C34">
            <w:pPr>
              <w:spacing w:line="240" w:lineRule="auto"/>
              <w:jc w:val="center"/>
              <w:rPr>
                <w:sz w:val="20"/>
                <w:szCs w:val="20"/>
              </w:rPr>
            </w:pPr>
            <w:r w:rsidRPr="0056639C">
              <w:rPr>
                <w:sz w:val="20"/>
                <w:szCs w:val="20"/>
              </w:rPr>
              <w:t>0.0146</w:t>
            </w:r>
            <w:r w:rsidRPr="0056639C">
              <w:rPr>
                <w:sz w:val="20"/>
                <w:szCs w:val="20"/>
              </w:rPr>
              <w:tab/>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6E432F54" w14:textId="77777777" w:rsidR="00014797" w:rsidRPr="0056639C" w:rsidRDefault="00014797" w:rsidP="00640C34">
            <w:pPr>
              <w:spacing w:line="240" w:lineRule="auto"/>
              <w:jc w:val="center"/>
              <w:rPr>
                <w:sz w:val="20"/>
                <w:szCs w:val="20"/>
              </w:rPr>
            </w:pPr>
            <w:r w:rsidRPr="0056639C">
              <w:rPr>
                <w:sz w:val="20"/>
                <w:szCs w:val="20"/>
              </w:rPr>
              <w:t>110,713 (58.335%)</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227B8E99" w14:textId="77777777" w:rsidR="00014797" w:rsidRPr="0056639C" w:rsidRDefault="00014797" w:rsidP="00640C34">
            <w:pPr>
              <w:spacing w:line="240" w:lineRule="auto"/>
              <w:jc w:val="center"/>
              <w:rPr>
                <w:sz w:val="20"/>
                <w:szCs w:val="20"/>
              </w:rPr>
            </w:pPr>
            <w:r w:rsidRPr="0056639C">
              <w:rPr>
                <w:sz w:val="20"/>
                <w:szCs w:val="20"/>
              </w:rPr>
              <w:t>110,675 (58.304%)</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791A3867" w14:textId="77777777" w:rsidR="00014797" w:rsidRPr="0056639C" w:rsidRDefault="00014797" w:rsidP="00640C34">
            <w:pPr>
              <w:spacing w:line="240" w:lineRule="auto"/>
              <w:jc w:val="center"/>
              <w:rPr>
                <w:sz w:val="20"/>
                <w:szCs w:val="20"/>
              </w:rPr>
            </w:pPr>
            <w:r w:rsidRPr="0056639C">
              <w:rPr>
                <w:sz w:val="20"/>
                <w:szCs w:val="20"/>
              </w:rPr>
              <w:t>0.0006</w:t>
            </w:r>
          </w:p>
        </w:tc>
      </w:tr>
      <w:tr w:rsidR="00014797" w:rsidRPr="0056639C" w14:paraId="70F0E7B1" w14:textId="77777777" w:rsidTr="00E448D7">
        <w:trPr>
          <w:trHeight w:val="771"/>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66344CAE" w14:textId="77777777" w:rsidR="00014797" w:rsidRPr="0056639C" w:rsidRDefault="00014797" w:rsidP="00640C34">
            <w:pPr>
              <w:spacing w:line="240" w:lineRule="auto"/>
              <w:jc w:val="center"/>
              <w:rPr>
                <w:sz w:val="20"/>
                <w:szCs w:val="20"/>
              </w:rPr>
            </w:pPr>
            <w:r w:rsidRPr="0056639C">
              <w:rPr>
                <w:sz w:val="20"/>
                <w:szCs w:val="20"/>
              </w:rPr>
              <w:t>Male</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F6EAA9D" w14:textId="77777777" w:rsidR="00014797" w:rsidRPr="0056639C" w:rsidRDefault="00014797" w:rsidP="00640C34">
            <w:pPr>
              <w:spacing w:line="240" w:lineRule="auto"/>
              <w:jc w:val="center"/>
              <w:rPr>
                <w:sz w:val="20"/>
                <w:szCs w:val="20"/>
              </w:rPr>
            </w:pPr>
            <w:r w:rsidRPr="0056639C">
              <w:rPr>
                <w:sz w:val="20"/>
                <w:szCs w:val="20"/>
              </w:rPr>
              <w:t>486,232 (42.379%)</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3944F75" w14:textId="77777777" w:rsidR="00014797" w:rsidRPr="0056639C" w:rsidRDefault="00014797" w:rsidP="00640C34">
            <w:pPr>
              <w:spacing w:line="240" w:lineRule="auto"/>
              <w:jc w:val="center"/>
              <w:rPr>
                <w:sz w:val="20"/>
                <w:szCs w:val="20"/>
              </w:rPr>
            </w:pPr>
            <w:r w:rsidRPr="0056639C">
              <w:rPr>
                <w:sz w:val="20"/>
                <w:szCs w:val="20"/>
              </w:rPr>
              <w:t>79,121 (41.681%)</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7BB91018" w14:textId="77777777" w:rsidR="00014797" w:rsidRPr="0056639C" w:rsidRDefault="00014797" w:rsidP="00640C34">
            <w:pPr>
              <w:spacing w:line="240" w:lineRule="auto"/>
              <w:jc w:val="center"/>
              <w:rPr>
                <w:sz w:val="20"/>
                <w:szCs w:val="20"/>
              </w:rPr>
            </w:pPr>
            <w:r w:rsidRPr="0056639C">
              <w:rPr>
                <w:sz w:val="20"/>
                <w:szCs w:val="20"/>
              </w:rPr>
              <w:t>0.0141</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05AB6BB3" w14:textId="77777777" w:rsidR="00014797" w:rsidRPr="0056639C" w:rsidRDefault="00014797" w:rsidP="00640C34">
            <w:pPr>
              <w:spacing w:line="240" w:lineRule="auto"/>
              <w:jc w:val="center"/>
              <w:rPr>
                <w:sz w:val="20"/>
                <w:szCs w:val="20"/>
              </w:rPr>
            </w:pPr>
            <w:r w:rsidRPr="0056639C">
              <w:rPr>
                <w:sz w:val="20"/>
                <w:szCs w:val="20"/>
              </w:rPr>
              <w:t>79,043 (41.648%)</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C4F52A0" w14:textId="77777777" w:rsidR="00014797" w:rsidRPr="0056639C" w:rsidRDefault="00014797" w:rsidP="00640C34">
            <w:pPr>
              <w:spacing w:line="240" w:lineRule="auto"/>
              <w:jc w:val="center"/>
              <w:rPr>
                <w:sz w:val="20"/>
                <w:szCs w:val="20"/>
              </w:rPr>
            </w:pPr>
            <w:r w:rsidRPr="0056639C">
              <w:rPr>
                <w:sz w:val="20"/>
                <w:szCs w:val="20"/>
              </w:rPr>
              <w:t>79,121 (41.681%)</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2A217820" w14:textId="77777777" w:rsidR="00014797" w:rsidRPr="0056639C" w:rsidRDefault="00014797" w:rsidP="00640C34">
            <w:pPr>
              <w:spacing w:line="240" w:lineRule="auto"/>
              <w:jc w:val="center"/>
              <w:rPr>
                <w:sz w:val="20"/>
                <w:szCs w:val="20"/>
              </w:rPr>
            </w:pPr>
            <w:r w:rsidRPr="0056639C">
              <w:rPr>
                <w:sz w:val="20"/>
                <w:szCs w:val="20"/>
              </w:rPr>
              <w:t>0.0006</w:t>
            </w:r>
          </w:p>
        </w:tc>
      </w:tr>
      <w:tr w:rsidR="00014797" w:rsidRPr="0056639C" w14:paraId="31491307" w14:textId="77777777" w:rsidTr="00E448D7">
        <w:trPr>
          <w:trHeight w:val="771"/>
        </w:trPr>
        <w:tc>
          <w:tcPr>
            <w:tcW w:w="9892" w:type="dxa"/>
            <w:gridSpan w:val="7"/>
            <w:tcBorders>
              <w:top w:val="single" w:sz="6" w:space="0" w:color="000000"/>
              <w:left w:val="single" w:sz="6" w:space="0" w:color="000000"/>
              <w:bottom w:val="single" w:sz="6" w:space="0" w:color="000000"/>
              <w:right w:val="single" w:sz="6" w:space="0" w:color="000000"/>
            </w:tcBorders>
            <w:tcMar>
              <w:top w:w="0" w:type="dxa"/>
              <w:bottom w:w="0" w:type="dxa"/>
            </w:tcMar>
          </w:tcPr>
          <w:p w14:paraId="613B0C05" w14:textId="77777777" w:rsidR="00014797" w:rsidRPr="0056639C" w:rsidRDefault="00014797" w:rsidP="00640C34">
            <w:pPr>
              <w:spacing w:line="240" w:lineRule="auto"/>
              <w:jc w:val="center"/>
              <w:rPr>
                <w:sz w:val="20"/>
                <w:szCs w:val="20"/>
              </w:rPr>
            </w:pPr>
            <w:r w:rsidRPr="0056639C">
              <w:rPr>
                <w:sz w:val="20"/>
                <w:szCs w:val="20"/>
              </w:rPr>
              <w:t>Ethnicity</w:t>
            </w:r>
          </w:p>
        </w:tc>
      </w:tr>
      <w:tr w:rsidR="00014797" w:rsidRPr="0056639C" w14:paraId="3DC054BC" w14:textId="77777777" w:rsidTr="00E448D7">
        <w:trPr>
          <w:trHeight w:val="771"/>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5B6BCD02" w14:textId="77777777" w:rsidR="00014797" w:rsidRPr="0056639C" w:rsidRDefault="00014797" w:rsidP="00640C34">
            <w:pPr>
              <w:spacing w:line="240" w:lineRule="auto"/>
              <w:jc w:val="center"/>
              <w:rPr>
                <w:sz w:val="20"/>
                <w:szCs w:val="20"/>
              </w:rPr>
            </w:pPr>
            <w:r w:rsidRPr="0056639C">
              <w:rPr>
                <w:sz w:val="20"/>
                <w:szCs w:val="20"/>
              </w:rPr>
              <w:t>Hispanic or Latino</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1A49AEB" w14:textId="77777777" w:rsidR="00014797" w:rsidRPr="0056639C" w:rsidRDefault="00014797" w:rsidP="00640C34">
            <w:pPr>
              <w:spacing w:line="240" w:lineRule="auto"/>
              <w:jc w:val="center"/>
              <w:rPr>
                <w:sz w:val="20"/>
                <w:szCs w:val="20"/>
              </w:rPr>
            </w:pPr>
            <w:r w:rsidRPr="0056639C">
              <w:rPr>
                <w:sz w:val="20"/>
                <w:szCs w:val="20"/>
              </w:rPr>
              <w:t>90,110 (7.854%)</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32D8175E" w14:textId="77777777" w:rsidR="00014797" w:rsidRPr="0056639C" w:rsidRDefault="00014797" w:rsidP="00640C34">
            <w:pPr>
              <w:spacing w:line="240" w:lineRule="auto"/>
              <w:jc w:val="center"/>
              <w:rPr>
                <w:sz w:val="20"/>
                <w:szCs w:val="20"/>
              </w:rPr>
            </w:pPr>
            <w:r w:rsidRPr="0056639C">
              <w:rPr>
                <w:sz w:val="20"/>
                <w:szCs w:val="20"/>
              </w:rPr>
              <w:t>15,537 (8.185%)</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27053D81" w14:textId="77777777" w:rsidR="00014797" w:rsidRPr="0056639C" w:rsidRDefault="00014797" w:rsidP="00640C34">
            <w:pPr>
              <w:spacing w:line="240" w:lineRule="auto"/>
              <w:jc w:val="center"/>
              <w:rPr>
                <w:sz w:val="20"/>
                <w:szCs w:val="20"/>
              </w:rPr>
            </w:pPr>
            <w:r w:rsidRPr="0056639C">
              <w:rPr>
                <w:sz w:val="20"/>
                <w:szCs w:val="20"/>
              </w:rPr>
              <w:t>0.0122</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0F1534DD" w14:textId="77777777" w:rsidR="00014797" w:rsidRPr="0056639C" w:rsidRDefault="00014797" w:rsidP="00640C34">
            <w:pPr>
              <w:spacing w:line="240" w:lineRule="auto"/>
              <w:jc w:val="center"/>
              <w:rPr>
                <w:sz w:val="20"/>
                <w:szCs w:val="20"/>
              </w:rPr>
            </w:pPr>
            <w:r w:rsidRPr="0056639C">
              <w:rPr>
                <w:sz w:val="20"/>
                <w:szCs w:val="20"/>
              </w:rPr>
              <w:t>14,240 (7.503%)</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3B99C233" w14:textId="77777777" w:rsidR="00014797" w:rsidRPr="0056639C" w:rsidRDefault="00014797" w:rsidP="00640C34">
            <w:pPr>
              <w:spacing w:line="240" w:lineRule="auto"/>
              <w:jc w:val="center"/>
              <w:rPr>
                <w:sz w:val="20"/>
                <w:szCs w:val="20"/>
              </w:rPr>
            </w:pPr>
            <w:r w:rsidRPr="0056639C">
              <w:rPr>
                <w:sz w:val="20"/>
                <w:szCs w:val="20"/>
              </w:rPr>
              <w:t>15,537 (8.185%)</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14BBF60C" w14:textId="77777777" w:rsidR="00014797" w:rsidRPr="0056639C" w:rsidRDefault="00014797" w:rsidP="00640C34">
            <w:pPr>
              <w:spacing w:line="240" w:lineRule="auto"/>
              <w:jc w:val="center"/>
              <w:rPr>
                <w:sz w:val="20"/>
                <w:szCs w:val="20"/>
              </w:rPr>
            </w:pPr>
            <w:r w:rsidRPr="0056639C">
              <w:rPr>
                <w:sz w:val="20"/>
                <w:szCs w:val="20"/>
              </w:rPr>
              <w:t>0.0253</w:t>
            </w:r>
          </w:p>
        </w:tc>
      </w:tr>
      <w:tr w:rsidR="00014797" w:rsidRPr="0056639C" w14:paraId="2A2E320A" w14:textId="77777777" w:rsidTr="00E448D7">
        <w:trPr>
          <w:trHeight w:val="771"/>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2D632212" w14:textId="77777777" w:rsidR="00014797" w:rsidRPr="0056639C" w:rsidRDefault="00014797" w:rsidP="00640C34">
            <w:pPr>
              <w:spacing w:line="240" w:lineRule="auto"/>
              <w:jc w:val="center"/>
              <w:rPr>
                <w:sz w:val="20"/>
                <w:szCs w:val="20"/>
              </w:rPr>
            </w:pPr>
            <w:r w:rsidRPr="0056639C">
              <w:rPr>
                <w:sz w:val="20"/>
                <w:szCs w:val="20"/>
              </w:rPr>
              <w:t>Not Hispanic or Latino</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F1ECF26" w14:textId="77777777" w:rsidR="00014797" w:rsidRPr="0056639C" w:rsidRDefault="00014797" w:rsidP="00640C34">
            <w:pPr>
              <w:spacing w:line="240" w:lineRule="auto"/>
              <w:jc w:val="center"/>
              <w:rPr>
                <w:sz w:val="20"/>
                <w:szCs w:val="20"/>
              </w:rPr>
            </w:pPr>
            <w:r w:rsidRPr="0056639C">
              <w:rPr>
                <w:sz w:val="20"/>
                <w:szCs w:val="20"/>
              </w:rPr>
              <w:t>860,088 (74.963%)</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BFDD100" w14:textId="77777777" w:rsidR="00014797" w:rsidRPr="0056639C" w:rsidRDefault="00014797" w:rsidP="00640C34">
            <w:pPr>
              <w:spacing w:line="240" w:lineRule="auto"/>
              <w:jc w:val="center"/>
              <w:rPr>
                <w:sz w:val="20"/>
                <w:szCs w:val="20"/>
              </w:rPr>
            </w:pPr>
            <w:r w:rsidRPr="0056639C">
              <w:rPr>
                <w:sz w:val="20"/>
                <w:szCs w:val="20"/>
              </w:rPr>
              <w:t>142,479 (75.058%)</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0347D1EF" w14:textId="77777777" w:rsidR="00014797" w:rsidRPr="0056639C" w:rsidRDefault="00014797" w:rsidP="00640C34">
            <w:pPr>
              <w:spacing w:line="240" w:lineRule="auto"/>
              <w:jc w:val="center"/>
              <w:rPr>
                <w:sz w:val="20"/>
                <w:szCs w:val="20"/>
              </w:rPr>
            </w:pPr>
            <w:r w:rsidRPr="0056639C">
              <w:rPr>
                <w:sz w:val="20"/>
                <w:szCs w:val="20"/>
              </w:rPr>
              <w:t>0.0022</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754D64B6" w14:textId="77777777" w:rsidR="00014797" w:rsidRPr="0056639C" w:rsidRDefault="00014797" w:rsidP="00640C34">
            <w:pPr>
              <w:spacing w:line="240" w:lineRule="auto"/>
              <w:jc w:val="center"/>
              <w:rPr>
                <w:sz w:val="20"/>
                <w:szCs w:val="20"/>
              </w:rPr>
            </w:pPr>
            <w:r w:rsidRPr="0056639C">
              <w:rPr>
                <w:sz w:val="20"/>
                <w:szCs w:val="20"/>
              </w:rPr>
              <w:t>143,429 (75.574%)</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351D7E60" w14:textId="77777777" w:rsidR="00014797" w:rsidRPr="0056639C" w:rsidRDefault="00014797" w:rsidP="00640C34">
            <w:pPr>
              <w:spacing w:line="240" w:lineRule="auto"/>
              <w:jc w:val="center"/>
              <w:rPr>
                <w:sz w:val="20"/>
                <w:szCs w:val="20"/>
              </w:rPr>
            </w:pPr>
            <w:r w:rsidRPr="0056639C">
              <w:rPr>
                <w:sz w:val="20"/>
                <w:szCs w:val="20"/>
              </w:rPr>
              <w:t>142,479 (75.058%)</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4785F4A1" w14:textId="77777777" w:rsidR="00014797" w:rsidRPr="0056639C" w:rsidRDefault="00014797" w:rsidP="00640C34">
            <w:pPr>
              <w:spacing w:line="240" w:lineRule="auto"/>
              <w:jc w:val="center"/>
              <w:rPr>
                <w:sz w:val="20"/>
                <w:szCs w:val="20"/>
              </w:rPr>
            </w:pPr>
            <w:r w:rsidRPr="0056639C">
              <w:rPr>
                <w:sz w:val="20"/>
                <w:szCs w:val="20"/>
              </w:rPr>
              <w:t>0.0119</w:t>
            </w:r>
          </w:p>
        </w:tc>
      </w:tr>
      <w:tr w:rsidR="00014797" w:rsidRPr="0056639C" w14:paraId="0D33037C"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0BE1061E" w14:textId="77777777" w:rsidR="00014797" w:rsidRPr="0056639C" w:rsidRDefault="00014797" w:rsidP="00640C34">
            <w:pPr>
              <w:spacing w:line="240" w:lineRule="auto"/>
              <w:jc w:val="center"/>
              <w:rPr>
                <w:sz w:val="20"/>
                <w:szCs w:val="20"/>
              </w:rPr>
            </w:pPr>
            <w:r w:rsidRPr="0056639C">
              <w:rPr>
                <w:sz w:val="20"/>
                <w:szCs w:val="20"/>
              </w:rPr>
              <w:t>Unknown Ethnicity</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2B45B21" w14:textId="77777777" w:rsidR="00014797" w:rsidRPr="0056639C" w:rsidRDefault="00014797" w:rsidP="00640C34">
            <w:pPr>
              <w:spacing w:line="240" w:lineRule="auto"/>
              <w:jc w:val="center"/>
              <w:rPr>
                <w:sz w:val="20"/>
                <w:szCs w:val="20"/>
              </w:rPr>
            </w:pPr>
            <w:r w:rsidRPr="0056639C">
              <w:rPr>
                <w:sz w:val="20"/>
                <w:szCs w:val="20"/>
              </w:rPr>
              <w:t>197,152 (17.183%)</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C18DD99" w14:textId="77777777" w:rsidR="00014797" w:rsidRPr="0056639C" w:rsidRDefault="00014797" w:rsidP="00640C34">
            <w:pPr>
              <w:spacing w:line="240" w:lineRule="auto"/>
              <w:jc w:val="center"/>
              <w:rPr>
                <w:sz w:val="20"/>
                <w:szCs w:val="20"/>
              </w:rPr>
            </w:pPr>
            <w:r w:rsidRPr="0056639C">
              <w:rPr>
                <w:sz w:val="20"/>
                <w:szCs w:val="20"/>
              </w:rPr>
              <w:t>31,809 (16.757%)</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10FA23E8" w14:textId="77777777" w:rsidR="00014797" w:rsidRPr="0056639C" w:rsidRDefault="00014797" w:rsidP="00640C34">
            <w:pPr>
              <w:spacing w:line="240" w:lineRule="auto"/>
              <w:jc w:val="center"/>
              <w:rPr>
                <w:sz w:val="20"/>
                <w:szCs w:val="20"/>
              </w:rPr>
            </w:pPr>
            <w:r w:rsidRPr="0056639C">
              <w:rPr>
                <w:sz w:val="20"/>
                <w:szCs w:val="20"/>
              </w:rPr>
              <w:t>0.0114</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67402F5B" w14:textId="77777777" w:rsidR="00014797" w:rsidRPr="0056639C" w:rsidRDefault="00014797" w:rsidP="00640C34">
            <w:pPr>
              <w:spacing w:line="240" w:lineRule="auto"/>
              <w:jc w:val="center"/>
              <w:rPr>
                <w:sz w:val="20"/>
                <w:szCs w:val="20"/>
              </w:rPr>
            </w:pPr>
            <w:r w:rsidRPr="0056639C">
              <w:rPr>
                <w:sz w:val="20"/>
                <w:szCs w:val="20"/>
              </w:rPr>
              <w:t>32,118 (16.923%)</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2465991E" w14:textId="77777777" w:rsidR="00014797" w:rsidRPr="0056639C" w:rsidRDefault="00014797" w:rsidP="00640C34">
            <w:pPr>
              <w:spacing w:line="240" w:lineRule="auto"/>
              <w:jc w:val="center"/>
              <w:rPr>
                <w:sz w:val="20"/>
                <w:szCs w:val="20"/>
              </w:rPr>
            </w:pPr>
            <w:r w:rsidRPr="0056639C">
              <w:rPr>
                <w:sz w:val="20"/>
                <w:szCs w:val="20"/>
              </w:rPr>
              <w:t>31,809 (16.757%)</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68AFCC51" w14:textId="77777777" w:rsidR="00014797" w:rsidRPr="0056639C" w:rsidRDefault="00014797" w:rsidP="00640C34">
            <w:pPr>
              <w:spacing w:line="240" w:lineRule="auto"/>
              <w:jc w:val="center"/>
              <w:rPr>
                <w:sz w:val="20"/>
                <w:szCs w:val="20"/>
              </w:rPr>
            </w:pPr>
            <w:r w:rsidRPr="0056639C">
              <w:rPr>
                <w:sz w:val="20"/>
                <w:szCs w:val="20"/>
              </w:rPr>
              <w:t>0.0044</w:t>
            </w:r>
          </w:p>
        </w:tc>
      </w:tr>
      <w:tr w:rsidR="00014797" w:rsidRPr="0056639C" w14:paraId="632BCDDB" w14:textId="77777777" w:rsidTr="00E448D7">
        <w:trPr>
          <w:trHeight w:val="514"/>
        </w:trPr>
        <w:tc>
          <w:tcPr>
            <w:tcW w:w="9892" w:type="dxa"/>
            <w:gridSpan w:val="7"/>
            <w:tcBorders>
              <w:top w:val="single" w:sz="6" w:space="0" w:color="000000"/>
              <w:left w:val="single" w:sz="6" w:space="0" w:color="000000"/>
              <w:bottom w:val="single" w:sz="6" w:space="0" w:color="000000"/>
              <w:right w:val="single" w:sz="6" w:space="0" w:color="000000"/>
            </w:tcBorders>
            <w:tcMar>
              <w:top w:w="0" w:type="dxa"/>
              <w:bottom w:w="0" w:type="dxa"/>
            </w:tcMar>
          </w:tcPr>
          <w:p w14:paraId="5CD14408" w14:textId="77777777" w:rsidR="00014797" w:rsidRPr="0056639C" w:rsidRDefault="00014797" w:rsidP="00640C34">
            <w:pPr>
              <w:spacing w:line="240" w:lineRule="auto"/>
              <w:jc w:val="center"/>
              <w:rPr>
                <w:sz w:val="20"/>
                <w:szCs w:val="20"/>
              </w:rPr>
            </w:pPr>
            <w:r w:rsidRPr="0056639C">
              <w:rPr>
                <w:sz w:val="20"/>
                <w:szCs w:val="20"/>
              </w:rPr>
              <w:t>Race</w:t>
            </w:r>
          </w:p>
        </w:tc>
      </w:tr>
      <w:tr w:rsidR="00014797" w:rsidRPr="0056639C" w14:paraId="333850B7"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22853A6E" w14:textId="77777777" w:rsidR="00014797" w:rsidRPr="0056639C" w:rsidRDefault="00014797" w:rsidP="00640C34">
            <w:pPr>
              <w:spacing w:line="240" w:lineRule="auto"/>
              <w:jc w:val="center"/>
              <w:rPr>
                <w:sz w:val="20"/>
                <w:szCs w:val="20"/>
              </w:rPr>
            </w:pPr>
            <w:r w:rsidRPr="0056639C">
              <w:rPr>
                <w:sz w:val="20"/>
                <w:szCs w:val="20"/>
              </w:rPr>
              <w:t>Asian</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C1F48B4" w14:textId="77777777" w:rsidR="00014797" w:rsidRPr="0056639C" w:rsidRDefault="00014797" w:rsidP="00640C34">
            <w:pPr>
              <w:spacing w:line="240" w:lineRule="auto"/>
              <w:jc w:val="center"/>
              <w:rPr>
                <w:sz w:val="20"/>
                <w:szCs w:val="20"/>
              </w:rPr>
            </w:pPr>
            <w:r w:rsidRPr="0056639C">
              <w:rPr>
                <w:sz w:val="20"/>
                <w:szCs w:val="20"/>
              </w:rPr>
              <w:t>25,034 (2.182%)</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07350AD2" w14:textId="77777777" w:rsidR="00014797" w:rsidRPr="0056639C" w:rsidRDefault="00014797" w:rsidP="00640C34">
            <w:pPr>
              <w:spacing w:line="240" w:lineRule="auto"/>
              <w:jc w:val="center"/>
              <w:rPr>
                <w:sz w:val="20"/>
                <w:szCs w:val="20"/>
              </w:rPr>
            </w:pPr>
            <w:r w:rsidRPr="0056639C">
              <w:rPr>
                <w:sz w:val="20"/>
                <w:szCs w:val="20"/>
              </w:rPr>
              <w:t>5,005 (2.637%)</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18ECBD49" w14:textId="77777777" w:rsidR="00014797" w:rsidRPr="0056639C" w:rsidRDefault="00014797" w:rsidP="00640C34">
            <w:pPr>
              <w:spacing w:line="240" w:lineRule="auto"/>
              <w:jc w:val="center"/>
              <w:rPr>
                <w:sz w:val="20"/>
                <w:szCs w:val="20"/>
              </w:rPr>
            </w:pPr>
            <w:r w:rsidRPr="0056639C">
              <w:rPr>
                <w:sz w:val="20"/>
                <w:szCs w:val="20"/>
              </w:rPr>
              <w:t>0.0297</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4D264654" w14:textId="77777777" w:rsidR="00014797" w:rsidRPr="0056639C" w:rsidRDefault="00014797" w:rsidP="00640C34">
            <w:pPr>
              <w:spacing w:line="240" w:lineRule="auto"/>
              <w:jc w:val="center"/>
              <w:rPr>
                <w:sz w:val="20"/>
                <w:szCs w:val="20"/>
              </w:rPr>
            </w:pPr>
            <w:r w:rsidRPr="0056639C">
              <w:rPr>
                <w:sz w:val="20"/>
                <w:szCs w:val="20"/>
              </w:rPr>
              <w:t>4,962 (2.615%)</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064CFD1" w14:textId="77777777" w:rsidR="00014797" w:rsidRPr="0056639C" w:rsidRDefault="00014797" w:rsidP="00640C34">
            <w:pPr>
              <w:spacing w:line="240" w:lineRule="auto"/>
              <w:jc w:val="center"/>
              <w:rPr>
                <w:sz w:val="20"/>
                <w:szCs w:val="20"/>
              </w:rPr>
            </w:pPr>
            <w:r w:rsidRPr="0056639C">
              <w:rPr>
                <w:sz w:val="20"/>
                <w:szCs w:val="20"/>
              </w:rPr>
              <w:t>5,005 (2.637%)</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468573D2" w14:textId="77777777" w:rsidR="00014797" w:rsidRPr="0056639C" w:rsidRDefault="00014797" w:rsidP="00640C34">
            <w:pPr>
              <w:spacing w:line="240" w:lineRule="auto"/>
              <w:jc w:val="center"/>
              <w:rPr>
                <w:sz w:val="20"/>
                <w:szCs w:val="20"/>
              </w:rPr>
            </w:pPr>
            <w:r w:rsidRPr="0056639C">
              <w:rPr>
                <w:sz w:val="20"/>
                <w:szCs w:val="20"/>
              </w:rPr>
              <w:t>0.0014</w:t>
            </w:r>
          </w:p>
        </w:tc>
      </w:tr>
      <w:tr w:rsidR="00014797" w:rsidRPr="0056639C" w14:paraId="06725648"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3F08E40B" w14:textId="77777777" w:rsidR="00014797" w:rsidRPr="0056639C" w:rsidRDefault="00014797" w:rsidP="00640C34">
            <w:pPr>
              <w:spacing w:line="240" w:lineRule="auto"/>
              <w:jc w:val="center"/>
              <w:rPr>
                <w:sz w:val="20"/>
                <w:szCs w:val="20"/>
              </w:rPr>
            </w:pPr>
            <w:r w:rsidRPr="0056639C">
              <w:rPr>
                <w:sz w:val="20"/>
                <w:szCs w:val="20"/>
              </w:rPr>
              <w:t>American Indian or Alaska Native</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3213E68" w14:textId="77777777" w:rsidR="00014797" w:rsidRPr="0056639C" w:rsidRDefault="00014797" w:rsidP="00640C34">
            <w:pPr>
              <w:spacing w:line="240" w:lineRule="auto"/>
              <w:jc w:val="center"/>
              <w:rPr>
                <w:sz w:val="20"/>
                <w:szCs w:val="20"/>
              </w:rPr>
            </w:pPr>
            <w:r w:rsidRPr="0056639C">
              <w:rPr>
                <w:sz w:val="20"/>
                <w:szCs w:val="20"/>
              </w:rPr>
              <w:t>4,914 (0.428%)</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3D63EF67" w14:textId="77777777" w:rsidR="00014797" w:rsidRPr="0056639C" w:rsidRDefault="00014797" w:rsidP="00640C34">
            <w:pPr>
              <w:spacing w:line="240" w:lineRule="auto"/>
              <w:jc w:val="center"/>
              <w:rPr>
                <w:sz w:val="20"/>
                <w:szCs w:val="20"/>
              </w:rPr>
            </w:pPr>
            <w:r w:rsidRPr="0056639C">
              <w:rPr>
                <w:sz w:val="20"/>
                <w:szCs w:val="20"/>
              </w:rPr>
              <w:t>1,161 (0.612%)</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3DE4112B" w14:textId="77777777" w:rsidR="00014797" w:rsidRPr="0056639C" w:rsidRDefault="00014797" w:rsidP="00640C34">
            <w:pPr>
              <w:spacing w:line="240" w:lineRule="auto"/>
              <w:jc w:val="center"/>
              <w:rPr>
                <w:sz w:val="20"/>
                <w:szCs w:val="20"/>
              </w:rPr>
            </w:pPr>
            <w:r w:rsidRPr="0056639C">
              <w:rPr>
                <w:sz w:val="20"/>
                <w:szCs w:val="20"/>
              </w:rPr>
              <w:t>0.0255</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717374C9" w14:textId="77777777" w:rsidR="00014797" w:rsidRPr="0056639C" w:rsidRDefault="00014797" w:rsidP="00640C34">
            <w:pPr>
              <w:spacing w:line="240" w:lineRule="auto"/>
              <w:jc w:val="center"/>
              <w:rPr>
                <w:sz w:val="20"/>
                <w:szCs w:val="20"/>
              </w:rPr>
            </w:pPr>
            <w:r w:rsidRPr="0056639C">
              <w:rPr>
                <w:sz w:val="20"/>
                <w:szCs w:val="20"/>
              </w:rPr>
              <w:t>885 (0.466%)</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5543EE0" w14:textId="77777777" w:rsidR="00014797" w:rsidRPr="0056639C" w:rsidRDefault="00014797" w:rsidP="00640C34">
            <w:pPr>
              <w:spacing w:line="240" w:lineRule="auto"/>
              <w:jc w:val="center"/>
              <w:rPr>
                <w:sz w:val="20"/>
                <w:szCs w:val="20"/>
              </w:rPr>
            </w:pPr>
            <w:r w:rsidRPr="0056639C">
              <w:rPr>
                <w:sz w:val="20"/>
                <w:szCs w:val="20"/>
              </w:rPr>
              <w:t>1,161 (0.612%)</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3BFCFAF5" w14:textId="77777777" w:rsidR="00014797" w:rsidRPr="0056639C" w:rsidRDefault="00014797" w:rsidP="00640C34">
            <w:pPr>
              <w:spacing w:line="240" w:lineRule="auto"/>
              <w:jc w:val="center"/>
              <w:rPr>
                <w:sz w:val="20"/>
                <w:szCs w:val="20"/>
              </w:rPr>
            </w:pPr>
            <w:r w:rsidRPr="0056639C">
              <w:rPr>
                <w:sz w:val="20"/>
                <w:szCs w:val="20"/>
              </w:rPr>
              <w:t>0.0199</w:t>
            </w:r>
          </w:p>
        </w:tc>
      </w:tr>
      <w:tr w:rsidR="00014797" w:rsidRPr="0056639C" w14:paraId="4D52DBAE"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385131B7" w14:textId="77777777" w:rsidR="00014797" w:rsidRPr="0056639C" w:rsidRDefault="00014797" w:rsidP="00640C34">
            <w:pPr>
              <w:spacing w:line="240" w:lineRule="auto"/>
              <w:jc w:val="center"/>
              <w:rPr>
                <w:sz w:val="20"/>
                <w:szCs w:val="20"/>
              </w:rPr>
            </w:pPr>
            <w:r w:rsidRPr="0056639C">
              <w:rPr>
                <w:sz w:val="20"/>
                <w:szCs w:val="20"/>
              </w:rPr>
              <w:t>Black or African American</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DED0DED" w14:textId="77777777" w:rsidR="00014797" w:rsidRPr="0056639C" w:rsidRDefault="00014797" w:rsidP="00640C34">
            <w:pPr>
              <w:spacing w:line="240" w:lineRule="auto"/>
              <w:jc w:val="center"/>
              <w:rPr>
                <w:sz w:val="20"/>
                <w:szCs w:val="20"/>
              </w:rPr>
            </w:pPr>
            <w:r w:rsidRPr="0056639C">
              <w:rPr>
                <w:sz w:val="20"/>
                <w:szCs w:val="20"/>
              </w:rPr>
              <w:t>143,774 (12.531%)</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2A3C0BC6" w14:textId="77777777" w:rsidR="00014797" w:rsidRPr="0056639C" w:rsidRDefault="00014797" w:rsidP="00640C34">
            <w:pPr>
              <w:spacing w:line="240" w:lineRule="auto"/>
              <w:jc w:val="center"/>
              <w:rPr>
                <w:sz w:val="20"/>
                <w:szCs w:val="20"/>
              </w:rPr>
            </w:pPr>
            <w:r w:rsidRPr="0056639C">
              <w:rPr>
                <w:sz w:val="20"/>
                <w:szCs w:val="20"/>
              </w:rPr>
              <w:t>31,102 (16.385%)</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C9C7A21" w14:textId="77777777" w:rsidR="00014797" w:rsidRPr="0056639C" w:rsidRDefault="00014797" w:rsidP="00640C34">
            <w:pPr>
              <w:spacing w:line="240" w:lineRule="auto"/>
              <w:jc w:val="center"/>
              <w:rPr>
                <w:sz w:val="20"/>
                <w:szCs w:val="20"/>
              </w:rPr>
            </w:pPr>
            <w:r w:rsidRPr="0056639C">
              <w:rPr>
                <w:sz w:val="20"/>
                <w:szCs w:val="20"/>
              </w:rPr>
              <w:t>0.1097</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7A061D99" w14:textId="77777777" w:rsidR="00014797" w:rsidRPr="0056639C" w:rsidRDefault="00014797" w:rsidP="00640C34">
            <w:pPr>
              <w:spacing w:line="240" w:lineRule="auto"/>
              <w:jc w:val="center"/>
              <w:rPr>
                <w:sz w:val="20"/>
                <w:szCs w:val="20"/>
              </w:rPr>
            </w:pPr>
            <w:r w:rsidRPr="0056639C">
              <w:rPr>
                <w:sz w:val="20"/>
                <w:szCs w:val="20"/>
              </w:rPr>
              <w:t>29,510 (15.549%)</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7AA8013" w14:textId="77777777" w:rsidR="00014797" w:rsidRPr="0056639C" w:rsidRDefault="00014797" w:rsidP="00640C34">
            <w:pPr>
              <w:spacing w:line="240" w:lineRule="auto"/>
              <w:jc w:val="center"/>
              <w:rPr>
                <w:sz w:val="20"/>
                <w:szCs w:val="20"/>
              </w:rPr>
            </w:pPr>
            <w:r w:rsidRPr="0056639C">
              <w:rPr>
                <w:sz w:val="20"/>
                <w:szCs w:val="20"/>
              </w:rPr>
              <w:t>31,102 (16.385%)</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43003EBB" w14:textId="77777777" w:rsidR="00014797" w:rsidRPr="0056639C" w:rsidRDefault="00014797" w:rsidP="00640C34">
            <w:pPr>
              <w:spacing w:line="240" w:lineRule="auto"/>
              <w:jc w:val="center"/>
              <w:rPr>
                <w:sz w:val="20"/>
                <w:szCs w:val="20"/>
              </w:rPr>
            </w:pPr>
            <w:r w:rsidRPr="0056639C">
              <w:rPr>
                <w:sz w:val="20"/>
                <w:szCs w:val="20"/>
              </w:rPr>
              <w:t>0.0225</w:t>
            </w:r>
          </w:p>
        </w:tc>
      </w:tr>
      <w:tr w:rsidR="00014797" w:rsidRPr="0056639C" w14:paraId="5450A270"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1436D890" w14:textId="77777777" w:rsidR="00014797" w:rsidRPr="0056639C" w:rsidRDefault="00014797" w:rsidP="00640C34">
            <w:pPr>
              <w:spacing w:line="240" w:lineRule="auto"/>
              <w:jc w:val="center"/>
              <w:rPr>
                <w:sz w:val="20"/>
                <w:szCs w:val="20"/>
              </w:rPr>
            </w:pPr>
            <w:r w:rsidRPr="0056639C">
              <w:rPr>
                <w:sz w:val="20"/>
                <w:szCs w:val="20"/>
              </w:rPr>
              <w:t>Native Hawaiian or Other Pacific Islander</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71EC9D5" w14:textId="77777777" w:rsidR="00014797" w:rsidRPr="0056639C" w:rsidRDefault="00014797" w:rsidP="00640C34">
            <w:pPr>
              <w:spacing w:line="240" w:lineRule="auto"/>
              <w:jc w:val="center"/>
              <w:rPr>
                <w:sz w:val="20"/>
                <w:szCs w:val="20"/>
              </w:rPr>
            </w:pPr>
            <w:r w:rsidRPr="0056639C">
              <w:rPr>
                <w:sz w:val="20"/>
                <w:szCs w:val="20"/>
              </w:rPr>
              <w:t>7,128 (0.621%)</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331A8BA" w14:textId="77777777" w:rsidR="00014797" w:rsidRPr="0056639C" w:rsidRDefault="00014797" w:rsidP="00640C34">
            <w:pPr>
              <w:spacing w:line="240" w:lineRule="auto"/>
              <w:jc w:val="center"/>
              <w:rPr>
                <w:sz w:val="20"/>
                <w:szCs w:val="20"/>
              </w:rPr>
            </w:pPr>
            <w:r w:rsidRPr="0056639C">
              <w:rPr>
                <w:sz w:val="20"/>
                <w:szCs w:val="20"/>
              </w:rPr>
              <w:t>1,439 (0.758%)</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7322B1D2" w14:textId="77777777" w:rsidR="00014797" w:rsidRPr="0056639C" w:rsidRDefault="00014797" w:rsidP="00640C34">
            <w:pPr>
              <w:spacing w:line="240" w:lineRule="auto"/>
              <w:jc w:val="center"/>
              <w:rPr>
                <w:sz w:val="20"/>
                <w:szCs w:val="20"/>
              </w:rPr>
            </w:pPr>
            <w:r w:rsidRPr="0056639C">
              <w:rPr>
                <w:sz w:val="20"/>
                <w:szCs w:val="20"/>
              </w:rPr>
              <w:t>0.0165</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150CC5B8" w14:textId="77777777" w:rsidR="00014797" w:rsidRPr="0056639C" w:rsidRDefault="00014797" w:rsidP="00640C34">
            <w:pPr>
              <w:spacing w:line="240" w:lineRule="auto"/>
              <w:jc w:val="center"/>
              <w:rPr>
                <w:sz w:val="20"/>
                <w:szCs w:val="20"/>
              </w:rPr>
            </w:pPr>
            <w:r w:rsidRPr="0056639C">
              <w:rPr>
                <w:sz w:val="20"/>
                <w:szCs w:val="20"/>
              </w:rPr>
              <w:t>1,264 (0.666%)</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2609E40F" w14:textId="77777777" w:rsidR="00014797" w:rsidRPr="0056639C" w:rsidRDefault="00014797" w:rsidP="00640C34">
            <w:pPr>
              <w:spacing w:line="240" w:lineRule="auto"/>
              <w:jc w:val="center"/>
              <w:rPr>
                <w:sz w:val="20"/>
                <w:szCs w:val="20"/>
              </w:rPr>
            </w:pPr>
            <w:r w:rsidRPr="0056639C">
              <w:rPr>
                <w:sz w:val="20"/>
                <w:szCs w:val="20"/>
              </w:rPr>
              <w:t>1,439 (0.758%)</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647EE079" w14:textId="77777777" w:rsidR="00014797" w:rsidRPr="0056639C" w:rsidRDefault="00014797" w:rsidP="00640C34">
            <w:pPr>
              <w:spacing w:line="240" w:lineRule="auto"/>
              <w:jc w:val="center"/>
              <w:rPr>
                <w:sz w:val="20"/>
                <w:szCs w:val="20"/>
              </w:rPr>
            </w:pPr>
            <w:r w:rsidRPr="0056639C">
              <w:rPr>
                <w:sz w:val="20"/>
                <w:szCs w:val="20"/>
              </w:rPr>
              <w:t>0.0109</w:t>
            </w:r>
          </w:p>
        </w:tc>
      </w:tr>
      <w:tr w:rsidR="00014797" w:rsidRPr="0056639C" w14:paraId="1680EBA3"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45D9C2AC" w14:textId="77777777" w:rsidR="00014797" w:rsidRPr="0056639C" w:rsidRDefault="00014797" w:rsidP="00640C34">
            <w:pPr>
              <w:spacing w:line="240" w:lineRule="auto"/>
              <w:jc w:val="center"/>
              <w:rPr>
                <w:sz w:val="20"/>
                <w:szCs w:val="20"/>
              </w:rPr>
            </w:pPr>
            <w:r w:rsidRPr="0056639C">
              <w:rPr>
                <w:sz w:val="20"/>
                <w:szCs w:val="20"/>
              </w:rPr>
              <w:t>White</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E0E1B5F" w14:textId="77777777" w:rsidR="00014797" w:rsidRPr="0056639C" w:rsidRDefault="00014797" w:rsidP="00640C34">
            <w:pPr>
              <w:spacing w:line="240" w:lineRule="auto"/>
              <w:jc w:val="center"/>
              <w:rPr>
                <w:sz w:val="20"/>
                <w:szCs w:val="20"/>
              </w:rPr>
            </w:pPr>
            <w:r w:rsidRPr="0056639C">
              <w:rPr>
                <w:sz w:val="20"/>
                <w:szCs w:val="20"/>
              </w:rPr>
              <w:t>853,566 (74.395%)</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0E3CF204" w14:textId="77777777" w:rsidR="00014797" w:rsidRPr="0056639C" w:rsidRDefault="00014797" w:rsidP="00640C34">
            <w:pPr>
              <w:spacing w:line="240" w:lineRule="auto"/>
              <w:jc w:val="center"/>
              <w:rPr>
                <w:sz w:val="20"/>
                <w:szCs w:val="20"/>
              </w:rPr>
            </w:pPr>
            <w:r w:rsidRPr="0056639C">
              <w:rPr>
                <w:sz w:val="20"/>
                <w:szCs w:val="20"/>
              </w:rPr>
              <w:t>134,359 (70.78%)</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31D4983" w14:textId="77777777" w:rsidR="00014797" w:rsidRPr="0056639C" w:rsidRDefault="00014797" w:rsidP="00640C34">
            <w:pPr>
              <w:spacing w:line="240" w:lineRule="auto"/>
              <w:jc w:val="center"/>
              <w:rPr>
                <w:sz w:val="20"/>
                <w:szCs w:val="20"/>
              </w:rPr>
            </w:pPr>
            <w:r w:rsidRPr="0056639C">
              <w:rPr>
                <w:sz w:val="20"/>
                <w:szCs w:val="20"/>
              </w:rPr>
              <w:t>0.0811</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2599FA10" w14:textId="77777777" w:rsidR="00014797" w:rsidRPr="0056639C" w:rsidRDefault="00014797" w:rsidP="00640C34">
            <w:pPr>
              <w:spacing w:line="240" w:lineRule="auto"/>
              <w:jc w:val="center"/>
              <w:rPr>
                <w:sz w:val="20"/>
                <w:szCs w:val="20"/>
              </w:rPr>
            </w:pPr>
            <w:r w:rsidRPr="0056639C">
              <w:rPr>
                <w:sz w:val="20"/>
                <w:szCs w:val="20"/>
              </w:rPr>
              <w:t>137,479 (72.439%)</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1F1AF8A1" w14:textId="77777777" w:rsidR="00014797" w:rsidRPr="0056639C" w:rsidRDefault="00014797" w:rsidP="00640C34">
            <w:pPr>
              <w:spacing w:line="240" w:lineRule="auto"/>
              <w:jc w:val="center"/>
              <w:rPr>
                <w:sz w:val="20"/>
                <w:szCs w:val="20"/>
              </w:rPr>
            </w:pPr>
            <w:r w:rsidRPr="0056639C">
              <w:rPr>
                <w:sz w:val="20"/>
                <w:szCs w:val="20"/>
              </w:rPr>
              <w:t>134,359 (70.78%)</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68C0F088" w14:textId="77777777" w:rsidR="00014797" w:rsidRPr="0056639C" w:rsidRDefault="00014797" w:rsidP="00640C34">
            <w:pPr>
              <w:spacing w:line="240" w:lineRule="auto"/>
              <w:jc w:val="center"/>
              <w:rPr>
                <w:sz w:val="20"/>
                <w:szCs w:val="20"/>
              </w:rPr>
            </w:pPr>
            <w:r w:rsidRPr="0056639C">
              <w:rPr>
                <w:sz w:val="20"/>
                <w:szCs w:val="20"/>
              </w:rPr>
              <w:t>0.0365</w:t>
            </w:r>
          </w:p>
        </w:tc>
      </w:tr>
      <w:tr w:rsidR="00014797" w:rsidRPr="0056639C" w14:paraId="648C4C50" w14:textId="77777777" w:rsidTr="00E448D7">
        <w:trPr>
          <w:trHeight w:val="514"/>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2A936824" w14:textId="77777777" w:rsidR="00014797" w:rsidRPr="0056639C" w:rsidRDefault="00014797" w:rsidP="00640C34">
            <w:pPr>
              <w:spacing w:line="240" w:lineRule="auto"/>
              <w:jc w:val="center"/>
              <w:rPr>
                <w:sz w:val="20"/>
                <w:szCs w:val="20"/>
              </w:rPr>
            </w:pPr>
            <w:r w:rsidRPr="0056639C">
              <w:rPr>
                <w:sz w:val="20"/>
                <w:szCs w:val="20"/>
              </w:rPr>
              <w:t>Other Race</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40EEBCA" w14:textId="77777777" w:rsidR="00014797" w:rsidRPr="0056639C" w:rsidRDefault="00014797" w:rsidP="00640C34">
            <w:pPr>
              <w:spacing w:line="240" w:lineRule="auto"/>
              <w:jc w:val="center"/>
              <w:rPr>
                <w:sz w:val="20"/>
                <w:szCs w:val="20"/>
              </w:rPr>
            </w:pPr>
            <w:r w:rsidRPr="0056639C">
              <w:rPr>
                <w:sz w:val="20"/>
                <w:szCs w:val="20"/>
              </w:rPr>
              <w:t>50,521 (4.403%)</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7B78A5DB" w14:textId="77777777" w:rsidR="00014797" w:rsidRPr="0056639C" w:rsidRDefault="00014797" w:rsidP="00640C34">
            <w:pPr>
              <w:spacing w:line="240" w:lineRule="auto"/>
              <w:jc w:val="center"/>
              <w:rPr>
                <w:sz w:val="20"/>
                <w:szCs w:val="20"/>
              </w:rPr>
            </w:pPr>
            <w:r w:rsidRPr="0056639C">
              <w:rPr>
                <w:sz w:val="20"/>
                <w:szCs w:val="20"/>
              </w:rPr>
              <w:t>8,089 (4.261%)</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5E7FBDF7" w14:textId="77777777" w:rsidR="00014797" w:rsidRPr="0056639C" w:rsidRDefault="00014797" w:rsidP="00640C34">
            <w:pPr>
              <w:spacing w:line="240" w:lineRule="auto"/>
              <w:jc w:val="center"/>
              <w:rPr>
                <w:sz w:val="20"/>
                <w:szCs w:val="20"/>
              </w:rPr>
            </w:pPr>
            <w:r w:rsidRPr="0056639C">
              <w:rPr>
                <w:sz w:val="20"/>
                <w:szCs w:val="20"/>
              </w:rPr>
              <w:t>0.0070</w:t>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65A78CDD" w14:textId="77777777" w:rsidR="00014797" w:rsidRPr="0056639C" w:rsidRDefault="00014797" w:rsidP="00640C34">
            <w:pPr>
              <w:spacing w:line="240" w:lineRule="auto"/>
              <w:jc w:val="center"/>
              <w:rPr>
                <w:sz w:val="20"/>
                <w:szCs w:val="20"/>
              </w:rPr>
            </w:pPr>
            <w:r w:rsidRPr="0056639C">
              <w:rPr>
                <w:sz w:val="20"/>
                <w:szCs w:val="20"/>
              </w:rPr>
              <w:t>7,344 (3.87%)</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67D3D5D8" w14:textId="77777777" w:rsidR="00014797" w:rsidRPr="0056639C" w:rsidRDefault="00014797" w:rsidP="00640C34">
            <w:pPr>
              <w:spacing w:line="240" w:lineRule="auto"/>
              <w:jc w:val="center"/>
              <w:rPr>
                <w:sz w:val="20"/>
                <w:szCs w:val="20"/>
              </w:rPr>
            </w:pPr>
            <w:r w:rsidRPr="0056639C">
              <w:rPr>
                <w:sz w:val="20"/>
                <w:szCs w:val="20"/>
              </w:rPr>
              <w:t>8,089 (4.261%)</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44BFBE53" w14:textId="77777777" w:rsidR="00014797" w:rsidRPr="0056639C" w:rsidRDefault="00014797" w:rsidP="00640C34">
            <w:pPr>
              <w:spacing w:line="240" w:lineRule="auto"/>
              <w:jc w:val="center"/>
              <w:rPr>
                <w:sz w:val="20"/>
                <w:szCs w:val="20"/>
              </w:rPr>
            </w:pPr>
            <w:r w:rsidRPr="0056639C">
              <w:rPr>
                <w:sz w:val="20"/>
                <w:szCs w:val="20"/>
              </w:rPr>
              <w:t>0.0197</w:t>
            </w:r>
          </w:p>
        </w:tc>
      </w:tr>
      <w:tr w:rsidR="00014797" w:rsidRPr="0056639C" w14:paraId="08A1FC88" w14:textId="77777777" w:rsidTr="00E448D7">
        <w:trPr>
          <w:trHeight w:val="771"/>
        </w:trPr>
        <w:tc>
          <w:tcPr>
            <w:tcW w:w="1398" w:type="dxa"/>
            <w:tcBorders>
              <w:top w:val="single" w:sz="6" w:space="0" w:color="000000"/>
              <w:left w:val="single" w:sz="6" w:space="0" w:color="000000"/>
              <w:bottom w:val="single" w:sz="6" w:space="0" w:color="000000"/>
              <w:right w:val="single" w:sz="6" w:space="0" w:color="000000"/>
            </w:tcBorders>
            <w:tcMar>
              <w:top w:w="0" w:type="dxa"/>
              <w:bottom w:w="0" w:type="dxa"/>
            </w:tcMar>
          </w:tcPr>
          <w:p w14:paraId="7D4494E3" w14:textId="77777777" w:rsidR="00014797" w:rsidRPr="0056639C" w:rsidRDefault="00014797" w:rsidP="00640C34">
            <w:pPr>
              <w:spacing w:line="240" w:lineRule="auto"/>
              <w:jc w:val="center"/>
              <w:rPr>
                <w:sz w:val="20"/>
                <w:szCs w:val="20"/>
              </w:rPr>
            </w:pPr>
            <w:r w:rsidRPr="0056639C">
              <w:rPr>
                <w:sz w:val="20"/>
                <w:szCs w:val="20"/>
              </w:rPr>
              <w:lastRenderedPageBreak/>
              <w:t>Unknown Race</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B10B64F" w14:textId="77777777" w:rsidR="00014797" w:rsidRPr="0056639C" w:rsidRDefault="00014797" w:rsidP="00640C34">
            <w:pPr>
              <w:spacing w:line="240" w:lineRule="auto"/>
              <w:jc w:val="center"/>
              <w:rPr>
                <w:sz w:val="20"/>
                <w:szCs w:val="20"/>
              </w:rPr>
            </w:pPr>
            <w:r w:rsidRPr="0056639C">
              <w:rPr>
                <w:sz w:val="20"/>
                <w:szCs w:val="20"/>
              </w:rPr>
              <w:t>62,413 (5.44%)</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5B2ED97A" w14:textId="77777777" w:rsidR="00014797" w:rsidRPr="0056639C" w:rsidRDefault="00014797" w:rsidP="00640C34">
            <w:pPr>
              <w:spacing w:line="240" w:lineRule="auto"/>
              <w:jc w:val="center"/>
              <w:rPr>
                <w:sz w:val="20"/>
                <w:szCs w:val="20"/>
              </w:rPr>
            </w:pPr>
            <w:r w:rsidRPr="0056639C">
              <w:rPr>
                <w:sz w:val="20"/>
                <w:szCs w:val="20"/>
              </w:rPr>
              <w:t>8,670 (4.567%)</w:t>
            </w:r>
          </w:p>
        </w:tc>
        <w:tc>
          <w:tcPr>
            <w:tcW w:w="1436" w:type="dxa"/>
            <w:tcBorders>
              <w:top w:val="single" w:sz="6" w:space="0" w:color="000000"/>
              <w:left w:val="single" w:sz="6" w:space="0" w:color="000000"/>
              <w:bottom w:val="single" w:sz="6" w:space="0" w:color="000000"/>
              <w:right w:val="single" w:sz="6" w:space="0" w:color="000000"/>
            </w:tcBorders>
            <w:tcMar>
              <w:top w:w="0" w:type="dxa"/>
              <w:bottom w:w="0" w:type="dxa"/>
            </w:tcMar>
          </w:tcPr>
          <w:p w14:paraId="2F5A02ED" w14:textId="77777777" w:rsidR="00014797" w:rsidRPr="0056639C" w:rsidRDefault="00014797" w:rsidP="00640C34">
            <w:pPr>
              <w:spacing w:line="240" w:lineRule="auto"/>
              <w:jc w:val="center"/>
              <w:rPr>
                <w:sz w:val="20"/>
                <w:szCs w:val="20"/>
              </w:rPr>
            </w:pPr>
            <w:r w:rsidRPr="0056639C">
              <w:rPr>
                <w:sz w:val="20"/>
                <w:szCs w:val="20"/>
              </w:rPr>
              <w:t>0.0400</w:t>
            </w:r>
            <w:r w:rsidRPr="0056639C">
              <w:rPr>
                <w:sz w:val="20"/>
                <w:szCs w:val="20"/>
              </w:rPr>
              <w:tab/>
            </w:r>
          </w:p>
        </w:tc>
        <w:tc>
          <w:tcPr>
            <w:tcW w:w="1311" w:type="dxa"/>
            <w:tcBorders>
              <w:top w:val="single" w:sz="6" w:space="0" w:color="000000"/>
              <w:left w:val="single" w:sz="6" w:space="0" w:color="000000"/>
              <w:bottom w:val="single" w:sz="6" w:space="0" w:color="000000"/>
              <w:right w:val="single" w:sz="6" w:space="0" w:color="000000"/>
            </w:tcBorders>
            <w:tcMar>
              <w:top w:w="0" w:type="dxa"/>
              <w:bottom w:w="0" w:type="dxa"/>
            </w:tcMar>
          </w:tcPr>
          <w:p w14:paraId="2B2EFD44" w14:textId="77777777" w:rsidR="00014797" w:rsidRPr="0056639C" w:rsidRDefault="00014797" w:rsidP="00640C34">
            <w:pPr>
              <w:spacing w:line="240" w:lineRule="auto"/>
              <w:jc w:val="center"/>
              <w:rPr>
                <w:sz w:val="20"/>
                <w:szCs w:val="20"/>
              </w:rPr>
            </w:pPr>
            <w:r w:rsidRPr="0056639C">
              <w:rPr>
                <w:sz w:val="20"/>
                <w:szCs w:val="20"/>
              </w:rPr>
              <w:t>8,343 (4.396%)</w:t>
            </w:r>
          </w:p>
        </w:tc>
        <w:tc>
          <w:tcPr>
            <w:tcW w:w="1414" w:type="dxa"/>
            <w:tcBorders>
              <w:top w:val="single" w:sz="6" w:space="0" w:color="000000"/>
              <w:left w:val="single" w:sz="6" w:space="0" w:color="000000"/>
              <w:bottom w:val="single" w:sz="6" w:space="0" w:color="000000"/>
              <w:right w:val="single" w:sz="6" w:space="0" w:color="000000"/>
            </w:tcBorders>
            <w:tcMar>
              <w:top w:w="0" w:type="dxa"/>
              <w:bottom w:w="0" w:type="dxa"/>
            </w:tcMar>
          </w:tcPr>
          <w:p w14:paraId="44B6D1E6" w14:textId="77777777" w:rsidR="00014797" w:rsidRPr="0056639C" w:rsidRDefault="00014797" w:rsidP="00640C34">
            <w:pPr>
              <w:spacing w:line="240" w:lineRule="auto"/>
              <w:jc w:val="center"/>
              <w:rPr>
                <w:sz w:val="20"/>
                <w:szCs w:val="20"/>
              </w:rPr>
            </w:pPr>
            <w:r w:rsidRPr="0056639C">
              <w:rPr>
                <w:sz w:val="20"/>
                <w:szCs w:val="20"/>
              </w:rPr>
              <w:t>8,670 (4.567%)</w:t>
            </w:r>
          </w:p>
        </w:tc>
        <w:tc>
          <w:tcPr>
            <w:tcW w:w="1505" w:type="dxa"/>
            <w:tcBorders>
              <w:top w:val="single" w:sz="6" w:space="0" w:color="000000"/>
              <w:left w:val="single" w:sz="6" w:space="0" w:color="000000"/>
              <w:bottom w:val="single" w:sz="6" w:space="0" w:color="000000"/>
              <w:right w:val="single" w:sz="6" w:space="0" w:color="000000"/>
            </w:tcBorders>
            <w:tcMar>
              <w:top w:w="0" w:type="dxa"/>
              <w:bottom w:w="0" w:type="dxa"/>
            </w:tcMar>
          </w:tcPr>
          <w:p w14:paraId="349F473C" w14:textId="77777777" w:rsidR="00014797" w:rsidRPr="0056639C" w:rsidRDefault="00014797" w:rsidP="00640C34">
            <w:pPr>
              <w:spacing w:line="240" w:lineRule="auto"/>
              <w:jc w:val="center"/>
              <w:rPr>
                <w:sz w:val="20"/>
                <w:szCs w:val="20"/>
              </w:rPr>
            </w:pPr>
            <w:r w:rsidRPr="0056639C">
              <w:rPr>
                <w:sz w:val="20"/>
                <w:szCs w:val="20"/>
              </w:rPr>
              <w:t>0.0083</w:t>
            </w:r>
          </w:p>
        </w:tc>
      </w:tr>
    </w:tbl>
    <w:p w14:paraId="555291E4" w14:textId="07130D69" w:rsidR="00A07745" w:rsidRPr="0056639C" w:rsidRDefault="00A07745">
      <w:pPr>
        <w:spacing w:line="360" w:lineRule="auto"/>
        <w:rPr>
          <w:sz w:val="20"/>
          <w:szCs w:val="20"/>
        </w:rPr>
      </w:pPr>
    </w:p>
    <w:p w14:paraId="65557DAD" w14:textId="77777777" w:rsidR="00F777C3" w:rsidRPr="0056639C" w:rsidRDefault="00F777C3">
      <w:pPr>
        <w:rPr>
          <w:b/>
          <w:i/>
          <w:sz w:val="20"/>
          <w:szCs w:val="20"/>
        </w:rPr>
      </w:pPr>
      <w:r w:rsidRPr="0056639C">
        <w:rPr>
          <w:b/>
          <w:i/>
          <w:sz w:val="20"/>
          <w:szCs w:val="20"/>
        </w:rPr>
        <w:br w:type="page"/>
      </w:r>
    </w:p>
    <w:p w14:paraId="5BB3ABAC" w14:textId="4161F089" w:rsidR="00A07745" w:rsidRPr="0056639C" w:rsidRDefault="00000000">
      <w:pPr>
        <w:spacing w:line="360" w:lineRule="auto"/>
        <w:rPr>
          <w:sz w:val="20"/>
          <w:szCs w:val="20"/>
        </w:rPr>
      </w:pPr>
      <w:r w:rsidRPr="0056639C">
        <w:rPr>
          <w:b/>
          <w:i/>
          <w:sz w:val="20"/>
          <w:szCs w:val="20"/>
        </w:rPr>
        <w:lastRenderedPageBreak/>
        <w:t xml:space="preserve">Table 2: </w:t>
      </w:r>
      <w:r w:rsidRPr="0056639C">
        <w:rPr>
          <w:sz w:val="20"/>
          <w:szCs w:val="20"/>
        </w:rPr>
        <w:t>Comparison of Clinical Comorbidities Between Diabetic and Non-Diabetic Patients Undergoing General Anesthesia Before and After Propensity-Score Matching</w:t>
      </w:r>
    </w:p>
    <w:p w14:paraId="5C6B4B86" w14:textId="0657C429" w:rsidR="00C11677" w:rsidRPr="0056639C" w:rsidRDefault="00C11677">
      <w:pPr>
        <w:spacing w:line="360" w:lineRule="auto"/>
        <w:rPr>
          <w:sz w:val="20"/>
          <w:szCs w:val="20"/>
        </w:rPr>
      </w:pPr>
      <w:r w:rsidRPr="0056639C">
        <w:rPr>
          <w:sz w:val="20"/>
          <w:szCs w:val="20"/>
        </w:rPr>
        <w:t>Values represent the proportion of each cohort with at least one diagnosis in the specified ICD-10 category. Standardized mean differences (SMDs) are reported to assess balance in comorbidity burden; SMD &lt; 0.10 after matching indicates excellent balance between cohorts.</w:t>
      </w:r>
    </w:p>
    <w:p w14:paraId="2B9A4493" w14:textId="77777777" w:rsidR="00A07745" w:rsidRPr="0056639C" w:rsidRDefault="00A07745">
      <w:pPr>
        <w:spacing w:line="240" w:lineRule="auto"/>
        <w:jc w:val="center"/>
        <w:rPr>
          <w:sz w:val="20"/>
          <w:szCs w:val="20"/>
        </w:rPr>
      </w:pPr>
    </w:p>
    <w:tbl>
      <w:tblPr>
        <w:tblStyle w:val="a0"/>
        <w:tblW w:w="98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1305"/>
        <w:gridCol w:w="1305"/>
        <w:gridCol w:w="1432"/>
        <w:gridCol w:w="1260"/>
        <w:gridCol w:w="1530"/>
        <w:gridCol w:w="1620"/>
      </w:tblGrid>
      <w:tr w:rsidR="00014797" w:rsidRPr="0056639C" w14:paraId="44356EF9" w14:textId="77777777" w:rsidTr="00071B0C">
        <w:trPr>
          <w:trHeight w:val="1005"/>
        </w:trPr>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5C3E0C" w14:textId="77777777" w:rsidR="00014797" w:rsidRPr="0056639C" w:rsidRDefault="00014797" w:rsidP="00640C34">
            <w:pPr>
              <w:spacing w:line="240" w:lineRule="auto"/>
              <w:jc w:val="center"/>
              <w:rPr>
                <w:b/>
                <w:sz w:val="20"/>
                <w:szCs w:val="20"/>
              </w:rPr>
            </w:pPr>
            <w:r w:rsidRPr="0056639C">
              <w:rPr>
                <w:b/>
                <w:sz w:val="20"/>
                <w:szCs w:val="20"/>
              </w:rPr>
              <w:t>ICD-10 Category</w:t>
            </w:r>
          </w:p>
        </w:tc>
        <w:tc>
          <w:tcPr>
            <w:tcW w:w="4042"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08C52B9A" w14:textId="77777777" w:rsidR="00014797" w:rsidRPr="0056639C" w:rsidRDefault="00014797" w:rsidP="00640C34">
            <w:pPr>
              <w:spacing w:line="240" w:lineRule="auto"/>
              <w:jc w:val="center"/>
              <w:rPr>
                <w:b/>
                <w:sz w:val="20"/>
                <w:szCs w:val="20"/>
              </w:rPr>
            </w:pPr>
            <w:r w:rsidRPr="0056639C">
              <w:rPr>
                <w:b/>
                <w:sz w:val="20"/>
                <w:szCs w:val="20"/>
              </w:rPr>
              <w:t>Before Matching Patients (% of Cohort)</w:t>
            </w:r>
            <w:r w:rsidRPr="0056639C">
              <w:rPr>
                <w:b/>
                <w:sz w:val="20"/>
                <w:szCs w:val="20"/>
              </w:rPr>
              <w:br/>
            </w:r>
            <w:r w:rsidRPr="0056639C">
              <w:rPr>
                <w:b/>
                <w:sz w:val="20"/>
                <w:szCs w:val="20"/>
              </w:rPr>
              <w:br/>
            </w:r>
          </w:p>
          <w:p w14:paraId="0F26733D" w14:textId="77777777" w:rsidR="00014797" w:rsidRPr="0056639C" w:rsidRDefault="00014797" w:rsidP="00640C34">
            <w:pPr>
              <w:spacing w:line="240" w:lineRule="auto"/>
              <w:jc w:val="center"/>
              <w:rPr>
                <w:b/>
                <w:sz w:val="20"/>
                <w:szCs w:val="20"/>
              </w:rPr>
            </w:pPr>
            <w:r w:rsidRPr="0056639C">
              <w:rPr>
                <w:b/>
                <w:sz w:val="20"/>
                <w:szCs w:val="20"/>
              </w:rPr>
              <w:br/>
            </w:r>
            <w:r w:rsidRPr="0056639C">
              <w:rPr>
                <w:b/>
                <w:sz w:val="20"/>
                <w:szCs w:val="20"/>
              </w:rPr>
              <w:br/>
            </w:r>
          </w:p>
        </w:tc>
        <w:tc>
          <w:tcPr>
            <w:tcW w:w="4410"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511F98CA" w14:textId="77777777" w:rsidR="00014797" w:rsidRPr="0056639C" w:rsidRDefault="00014797" w:rsidP="00640C34">
            <w:pPr>
              <w:spacing w:line="240" w:lineRule="auto"/>
              <w:jc w:val="center"/>
              <w:rPr>
                <w:b/>
                <w:sz w:val="20"/>
                <w:szCs w:val="20"/>
              </w:rPr>
            </w:pPr>
            <w:r w:rsidRPr="0056639C">
              <w:rPr>
                <w:b/>
                <w:sz w:val="20"/>
                <w:szCs w:val="20"/>
              </w:rPr>
              <w:t>After Matching</w:t>
            </w:r>
            <w:r w:rsidRPr="0056639C">
              <w:rPr>
                <w:b/>
                <w:sz w:val="20"/>
                <w:szCs w:val="20"/>
              </w:rPr>
              <w:br/>
              <w:t>Patients (% of Cohort)</w:t>
            </w:r>
          </w:p>
        </w:tc>
      </w:tr>
      <w:tr w:rsidR="00014797" w:rsidRPr="0056639C" w14:paraId="2B40233B" w14:textId="77777777" w:rsidTr="00071B0C">
        <w:trPr>
          <w:trHeight w:val="1005"/>
        </w:trPr>
        <w:tc>
          <w:tcPr>
            <w:tcW w:w="1440"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EF2E62" w14:textId="77777777" w:rsidR="00014797" w:rsidRPr="0056639C" w:rsidRDefault="00014797" w:rsidP="00640C34">
            <w:pPr>
              <w:spacing w:line="240" w:lineRule="auto"/>
              <w:rPr>
                <w:sz w:val="20"/>
                <w:szCs w:val="20"/>
              </w:rPr>
            </w:pPr>
          </w:p>
        </w:tc>
        <w:tc>
          <w:tcPr>
            <w:tcW w:w="1305" w:type="dxa"/>
            <w:tcBorders>
              <w:top w:val="single" w:sz="6" w:space="0" w:color="000000"/>
              <w:left w:val="single" w:sz="6" w:space="0" w:color="000000"/>
              <w:bottom w:val="single" w:sz="6" w:space="0" w:color="000000"/>
              <w:right w:val="single" w:sz="6" w:space="0" w:color="000000"/>
            </w:tcBorders>
            <w:tcMar>
              <w:top w:w="0" w:type="dxa"/>
              <w:bottom w:w="0" w:type="dxa"/>
            </w:tcMar>
          </w:tcPr>
          <w:p w14:paraId="02D33CF9" w14:textId="77777777" w:rsidR="00014797" w:rsidRPr="0056639C" w:rsidRDefault="00014797" w:rsidP="00640C34">
            <w:pPr>
              <w:spacing w:line="240" w:lineRule="auto"/>
              <w:jc w:val="center"/>
              <w:rPr>
                <w:sz w:val="20"/>
                <w:szCs w:val="20"/>
              </w:rPr>
            </w:pPr>
            <w:r w:rsidRPr="0056639C">
              <w:rPr>
                <w:sz w:val="20"/>
                <w:szCs w:val="20"/>
              </w:rPr>
              <w:t>No Diabetes (n = 1,156,118)</w:t>
            </w:r>
          </w:p>
        </w:tc>
        <w:tc>
          <w:tcPr>
            <w:tcW w:w="1305" w:type="dxa"/>
            <w:tcBorders>
              <w:top w:val="single" w:sz="6" w:space="0" w:color="000000"/>
              <w:left w:val="single" w:sz="6" w:space="0" w:color="000000"/>
              <w:bottom w:val="single" w:sz="6" w:space="0" w:color="000000"/>
              <w:right w:val="single" w:sz="6" w:space="0" w:color="000000"/>
            </w:tcBorders>
            <w:tcMar>
              <w:top w:w="0" w:type="dxa"/>
              <w:bottom w:w="0" w:type="dxa"/>
            </w:tcMar>
          </w:tcPr>
          <w:p w14:paraId="7CD6C7FD" w14:textId="77777777" w:rsidR="00014797" w:rsidRPr="0056639C" w:rsidRDefault="00014797" w:rsidP="00640C34">
            <w:pPr>
              <w:spacing w:line="240" w:lineRule="auto"/>
              <w:jc w:val="center"/>
              <w:rPr>
                <w:sz w:val="20"/>
                <w:szCs w:val="20"/>
              </w:rPr>
            </w:pPr>
            <w:r w:rsidRPr="0056639C">
              <w:rPr>
                <w:sz w:val="20"/>
                <w:szCs w:val="20"/>
              </w:rPr>
              <w:t>Diabetes (n = 190,237)</w:t>
            </w:r>
          </w:p>
        </w:tc>
        <w:tc>
          <w:tcPr>
            <w:tcW w:w="1432" w:type="dxa"/>
            <w:tcBorders>
              <w:top w:val="single" w:sz="6" w:space="0" w:color="000000"/>
              <w:left w:val="single" w:sz="6" w:space="0" w:color="000000"/>
              <w:bottom w:val="single" w:sz="6" w:space="0" w:color="000000"/>
              <w:right w:val="single" w:sz="6" w:space="0" w:color="000000"/>
            </w:tcBorders>
            <w:tcMar>
              <w:top w:w="0" w:type="dxa"/>
              <w:bottom w:w="0" w:type="dxa"/>
            </w:tcMar>
          </w:tcPr>
          <w:p w14:paraId="56C32335" w14:textId="77777777" w:rsidR="00014797" w:rsidRPr="0056639C" w:rsidRDefault="00014797" w:rsidP="00640C34">
            <w:pPr>
              <w:spacing w:line="240" w:lineRule="auto"/>
              <w:jc w:val="center"/>
              <w:rPr>
                <w:sz w:val="20"/>
                <w:szCs w:val="20"/>
              </w:rPr>
            </w:pPr>
            <w:r w:rsidRPr="0056639C">
              <w:rPr>
                <w:sz w:val="20"/>
                <w:szCs w:val="20"/>
              </w:rPr>
              <w:t>Standardized Difference</w:t>
            </w:r>
          </w:p>
        </w:tc>
        <w:tc>
          <w:tcPr>
            <w:tcW w:w="126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2A810C" w14:textId="00F61B70" w:rsidR="00014797" w:rsidRPr="0056639C" w:rsidRDefault="00014797" w:rsidP="00640C34">
            <w:pPr>
              <w:spacing w:line="240" w:lineRule="auto"/>
              <w:jc w:val="center"/>
              <w:rPr>
                <w:sz w:val="20"/>
                <w:szCs w:val="20"/>
              </w:rPr>
            </w:pPr>
            <w:r w:rsidRPr="0056639C">
              <w:rPr>
                <w:sz w:val="20"/>
                <w:szCs w:val="20"/>
              </w:rPr>
              <w:t>No Diabetes (n = 1</w:t>
            </w:r>
            <w:r w:rsidR="005B5A77" w:rsidRPr="0056639C">
              <w:rPr>
                <w:sz w:val="20"/>
                <w:szCs w:val="20"/>
              </w:rPr>
              <w:t>89,787</w:t>
            </w:r>
            <w:r w:rsidRPr="0056639C">
              <w:rPr>
                <w:sz w:val="20"/>
                <w:szCs w:val="20"/>
              </w:rPr>
              <w:t>)</w:t>
            </w:r>
          </w:p>
        </w:tc>
        <w:tc>
          <w:tcPr>
            <w:tcW w:w="1530" w:type="dxa"/>
            <w:tcBorders>
              <w:top w:val="single" w:sz="6" w:space="0" w:color="000000"/>
              <w:left w:val="single" w:sz="6" w:space="0" w:color="000000"/>
              <w:bottom w:val="single" w:sz="6" w:space="0" w:color="000000"/>
              <w:right w:val="single" w:sz="6" w:space="0" w:color="000000"/>
            </w:tcBorders>
            <w:tcMar>
              <w:top w:w="0" w:type="dxa"/>
              <w:bottom w:w="0" w:type="dxa"/>
            </w:tcMar>
          </w:tcPr>
          <w:p w14:paraId="54A56633" w14:textId="7C874431" w:rsidR="00014797" w:rsidRPr="0056639C" w:rsidRDefault="00014797" w:rsidP="00640C34">
            <w:pPr>
              <w:spacing w:line="240" w:lineRule="auto"/>
              <w:jc w:val="center"/>
              <w:rPr>
                <w:sz w:val="20"/>
                <w:szCs w:val="20"/>
              </w:rPr>
            </w:pPr>
            <w:r w:rsidRPr="0056639C">
              <w:rPr>
                <w:sz w:val="20"/>
                <w:szCs w:val="20"/>
              </w:rPr>
              <w:t>Diabetes (n = 1</w:t>
            </w:r>
            <w:r w:rsidR="005B5A77" w:rsidRPr="0056639C">
              <w:rPr>
                <w:sz w:val="20"/>
                <w:szCs w:val="20"/>
              </w:rPr>
              <w:t>89,787</w:t>
            </w:r>
            <w:r w:rsidRPr="0056639C">
              <w:rPr>
                <w:sz w:val="20"/>
                <w:szCs w:val="20"/>
              </w:rPr>
              <w:t>)</w:t>
            </w: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14:paraId="684E9F3F" w14:textId="77777777" w:rsidR="00014797" w:rsidRPr="0056639C" w:rsidRDefault="00014797" w:rsidP="00640C34">
            <w:pPr>
              <w:spacing w:line="240" w:lineRule="auto"/>
              <w:jc w:val="center"/>
              <w:rPr>
                <w:sz w:val="20"/>
                <w:szCs w:val="20"/>
              </w:rPr>
            </w:pPr>
            <w:r w:rsidRPr="0056639C">
              <w:rPr>
                <w:sz w:val="20"/>
                <w:szCs w:val="20"/>
              </w:rPr>
              <w:t>Standardized Difference</w:t>
            </w:r>
          </w:p>
        </w:tc>
      </w:tr>
      <w:tr w:rsidR="00014797" w:rsidRPr="0056639C" w14:paraId="48B7F661" w14:textId="77777777" w:rsidTr="00071B0C">
        <w:trPr>
          <w:trHeight w:val="1500"/>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946520" w14:textId="77777777" w:rsidR="00014797" w:rsidRPr="0056639C" w:rsidRDefault="00014797" w:rsidP="00640C34">
            <w:pPr>
              <w:spacing w:line="240" w:lineRule="auto"/>
              <w:jc w:val="center"/>
              <w:rPr>
                <w:sz w:val="20"/>
                <w:szCs w:val="20"/>
              </w:rPr>
            </w:pPr>
            <w:r w:rsidRPr="0056639C">
              <w:rPr>
                <w:sz w:val="20"/>
                <w:szCs w:val="20"/>
              </w:rPr>
              <w:t>E00-E89 Endocrine, nutritional, and metabolic diseases</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15F85C89" w14:textId="77777777" w:rsidR="00014797" w:rsidRPr="0056639C" w:rsidRDefault="00014797" w:rsidP="00640C34">
            <w:pPr>
              <w:spacing w:line="240" w:lineRule="auto"/>
              <w:jc w:val="center"/>
              <w:rPr>
                <w:sz w:val="20"/>
                <w:szCs w:val="20"/>
              </w:rPr>
            </w:pPr>
            <w:r w:rsidRPr="0056639C">
              <w:rPr>
                <w:sz w:val="20"/>
                <w:szCs w:val="20"/>
              </w:rPr>
              <w:t>587,824 (51.233%)</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7402BA6D" w14:textId="77777777" w:rsidR="00014797" w:rsidRPr="0056639C" w:rsidRDefault="00014797" w:rsidP="00640C34">
            <w:pPr>
              <w:spacing w:line="240" w:lineRule="auto"/>
              <w:jc w:val="center"/>
              <w:rPr>
                <w:sz w:val="20"/>
                <w:szCs w:val="20"/>
              </w:rPr>
            </w:pPr>
            <w:r w:rsidRPr="0056639C">
              <w:rPr>
                <w:sz w:val="20"/>
                <w:szCs w:val="20"/>
              </w:rPr>
              <w:t>189,825 (100%)</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27B6CC74" w14:textId="77777777" w:rsidR="00014797" w:rsidRPr="0056639C" w:rsidRDefault="00014797" w:rsidP="00640C34">
            <w:pPr>
              <w:spacing w:line="240" w:lineRule="auto"/>
              <w:jc w:val="center"/>
              <w:rPr>
                <w:sz w:val="20"/>
                <w:szCs w:val="20"/>
              </w:rPr>
            </w:pPr>
            <w:r w:rsidRPr="0056639C">
              <w:rPr>
                <w:sz w:val="20"/>
                <w:szCs w:val="20"/>
              </w:rPr>
              <w:t>1.3798</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2ACE445A" w14:textId="77777777" w:rsidR="00014797" w:rsidRPr="0056639C" w:rsidRDefault="00014797" w:rsidP="00640C34">
            <w:pPr>
              <w:spacing w:line="240" w:lineRule="auto"/>
              <w:jc w:val="center"/>
              <w:rPr>
                <w:sz w:val="20"/>
                <w:szCs w:val="20"/>
              </w:rPr>
            </w:pPr>
            <w:r w:rsidRPr="0056639C">
              <w:rPr>
                <w:sz w:val="20"/>
                <w:szCs w:val="20"/>
              </w:rPr>
              <w:t>131,149 (69.103%)</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4620EBBD" w14:textId="77777777" w:rsidR="00014797" w:rsidRPr="0056639C" w:rsidRDefault="00014797" w:rsidP="00640C34">
            <w:pPr>
              <w:spacing w:line="240" w:lineRule="auto"/>
              <w:jc w:val="center"/>
              <w:rPr>
                <w:sz w:val="20"/>
                <w:szCs w:val="20"/>
              </w:rPr>
            </w:pPr>
            <w:r w:rsidRPr="0056639C">
              <w:rPr>
                <w:sz w:val="20"/>
                <w:szCs w:val="20"/>
              </w:rPr>
              <w:t>189,787 (100%)</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78009097" w14:textId="77777777" w:rsidR="00014797" w:rsidRPr="0056639C" w:rsidRDefault="00014797" w:rsidP="00640C34">
            <w:pPr>
              <w:spacing w:line="240" w:lineRule="auto"/>
              <w:jc w:val="center"/>
              <w:rPr>
                <w:sz w:val="20"/>
                <w:szCs w:val="20"/>
              </w:rPr>
            </w:pPr>
            <w:r w:rsidRPr="0056639C">
              <w:rPr>
                <w:sz w:val="20"/>
                <w:szCs w:val="20"/>
              </w:rPr>
              <w:t>0.9456</w:t>
            </w:r>
          </w:p>
        </w:tc>
      </w:tr>
      <w:tr w:rsidR="00014797" w:rsidRPr="0056639C" w14:paraId="44B9A842" w14:textId="77777777" w:rsidTr="00071B0C">
        <w:trPr>
          <w:trHeight w:val="1260"/>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73B4F0" w14:textId="77777777" w:rsidR="00014797" w:rsidRPr="0056639C" w:rsidRDefault="00014797" w:rsidP="00640C34">
            <w:pPr>
              <w:spacing w:line="240" w:lineRule="auto"/>
              <w:jc w:val="center"/>
              <w:rPr>
                <w:sz w:val="20"/>
                <w:szCs w:val="20"/>
              </w:rPr>
            </w:pPr>
            <w:r w:rsidRPr="0056639C">
              <w:rPr>
                <w:sz w:val="20"/>
                <w:szCs w:val="20"/>
              </w:rPr>
              <w:t>I00-I99 Diseases of the circulatory system</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75F142E3" w14:textId="77777777" w:rsidR="00014797" w:rsidRPr="0056639C" w:rsidRDefault="00014797" w:rsidP="00640C34">
            <w:pPr>
              <w:spacing w:line="240" w:lineRule="auto"/>
              <w:jc w:val="center"/>
              <w:rPr>
                <w:sz w:val="20"/>
                <w:szCs w:val="20"/>
              </w:rPr>
            </w:pPr>
            <w:r w:rsidRPr="0056639C">
              <w:rPr>
                <w:sz w:val="20"/>
                <w:szCs w:val="20"/>
              </w:rPr>
              <w:t>473,016 (41.227%)</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439FE74A" w14:textId="77777777" w:rsidR="00014797" w:rsidRPr="0056639C" w:rsidRDefault="00014797" w:rsidP="00640C34">
            <w:pPr>
              <w:spacing w:line="240" w:lineRule="auto"/>
              <w:jc w:val="center"/>
              <w:rPr>
                <w:sz w:val="20"/>
                <w:szCs w:val="20"/>
              </w:rPr>
            </w:pPr>
            <w:r w:rsidRPr="0056639C">
              <w:rPr>
                <w:sz w:val="20"/>
                <w:szCs w:val="20"/>
              </w:rPr>
              <w:t>159,887 (84.229%)</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6878E037" w14:textId="77777777" w:rsidR="00014797" w:rsidRPr="0056639C" w:rsidRDefault="00014797" w:rsidP="00640C34">
            <w:pPr>
              <w:spacing w:line="240" w:lineRule="auto"/>
              <w:jc w:val="center"/>
              <w:rPr>
                <w:sz w:val="20"/>
                <w:szCs w:val="20"/>
              </w:rPr>
            </w:pPr>
            <w:r w:rsidRPr="0056639C">
              <w:rPr>
                <w:sz w:val="20"/>
                <w:szCs w:val="20"/>
              </w:rPr>
              <w:t>0.9929</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003E9220" w14:textId="77777777" w:rsidR="00014797" w:rsidRPr="0056639C" w:rsidRDefault="00014797" w:rsidP="00640C34">
            <w:pPr>
              <w:spacing w:line="240" w:lineRule="auto"/>
              <w:jc w:val="center"/>
              <w:rPr>
                <w:sz w:val="20"/>
                <w:szCs w:val="20"/>
              </w:rPr>
            </w:pPr>
            <w:r w:rsidRPr="0056639C">
              <w:rPr>
                <w:sz w:val="20"/>
                <w:szCs w:val="20"/>
              </w:rPr>
              <w:t>118,001 (62.175%)</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7B787790" w14:textId="77777777" w:rsidR="00014797" w:rsidRPr="0056639C" w:rsidRDefault="00014797" w:rsidP="00640C34">
            <w:pPr>
              <w:spacing w:line="240" w:lineRule="auto"/>
              <w:jc w:val="center"/>
              <w:rPr>
                <w:sz w:val="20"/>
                <w:szCs w:val="20"/>
              </w:rPr>
            </w:pPr>
            <w:r w:rsidRPr="0056639C">
              <w:rPr>
                <w:sz w:val="20"/>
                <w:szCs w:val="20"/>
              </w:rPr>
              <w:t>159,849 (84.225%)</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578FDA61" w14:textId="77777777" w:rsidR="00014797" w:rsidRPr="0056639C" w:rsidRDefault="00014797" w:rsidP="00640C34">
            <w:pPr>
              <w:spacing w:line="240" w:lineRule="auto"/>
              <w:jc w:val="center"/>
              <w:rPr>
                <w:sz w:val="20"/>
                <w:szCs w:val="20"/>
              </w:rPr>
            </w:pPr>
            <w:r w:rsidRPr="0056639C">
              <w:rPr>
                <w:sz w:val="20"/>
                <w:szCs w:val="20"/>
              </w:rPr>
              <w:t>0.5140</w:t>
            </w:r>
          </w:p>
        </w:tc>
      </w:tr>
      <w:tr w:rsidR="00014797" w:rsidRPr="0056639C" w14:paraId="5964323F" w14:textId="77777777" w:rsidTr="00071B0C">
        <w:trPr>
          <w:trHeight w:val="1260"/>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78D0D5" w14:textId="77777777" w:rsidR="00014797" w:rsidRPr="0056639C" w:rsidRDefault="00014797" w:rsidP="00640C34">
            <w:pPr>
              <w:spacing w:line="240" w:lineRule="auto"/>
              <w:jc w:val="center"/>
              <w:rPr>
                <w:sz w:val="20"/>
                <w:szCs w:val="20"/>
              </w:rPr>
            </w:pPr>
            <w:r w:rsidRPr="0056639C">
              <w:rPr>
                <w:sz w:val="20"/>
                <w:szCs w:val="20"/>
              </w:rPr>
              <w:t>N00-N99 Diseases of the genitourinary system</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32F04196" w14:textId="77777777" w:rsidR="00014797" w:rsidRPr="0056639C" w:rsidRDefault="00014797" w:rsidP="00640C34">
            <w:pPr>
              <w:spacing w:line="240" w:lineRule="auto"/>
              <w:jc w:val="center"/>
              <w:rPr>
                <w:sz w:val="20"/>
                <w:szCs w:val="20"/>
              </w:rPr>
            </w:pPr>
            <w:r w:rsidRPr="0056639C">
              <w:rPr>
                <w:sz w:val="20"/>
                <w:szCs w:val="20"/>
              </w:rPr>
              <w:t>525,636 (45.813%)</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4610F8E6" w14:textId="77777777" w:rsidR="00014797" w:rsidRPr="0056639C" w:rsidRDefault="00014797" w:rsidP="00640C34">
            <w:pPr>
              <w:spacing w:line="240" w:lineRule="auto"/>
              <w:jc w:val="center"/>
              <w:rPr>
                <w:sz w:val="20"/>
                <w:szCs w:val="20"/>
              </w:rPr>
            </w:pPr>
            <w:r w:rsidRPr="0056639C">
              <w:rPr>
                <w:sz w:val="20"/>
                <w:szCs w:val="20"/>
              </w:rPr>
              <w:t>125,883 (66.315%)</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14296E7E" w14:textId="77777777" w:rsidR="00014797" w:rsidRPr="0056639C" w:rsidRDefault="00014797" w:rsidP="00640C34">
            <w:pPr>
              <w:spacing w:line="240" w:lineRule="auto"/>
              <w:jc w:val="center"/>
              <w:rPr>
                <w:sz w:val="20"/>
                <w:szCs w:val="20"/>
              </w:rPr>
            </w:pPr>
            <w:r w:rsidRPr="0056639C">
              <w:rPr>
                <w:sz w:val="20"/>
                <w:szCs w:val="20"/>
              </w:rPr>
              <w:t>0.4222</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14809092" w14:textId="77777777" w:rsidR="00014797" w:rsidRPr="0056639C" w:rsidRDefault="00014797" w:rsidP="00640C34">
            <w:pPr>
              <w:spacing w:line="240" w:lineRule="auto"/>
              <w:jc w:val="center"/>
              <w:rPr>
                <w:sz w:val="20"/>
                <w:szCs w:val="20"/>
              </w:rPr>
            </w:pPr>
            <w:r w:rsidRPr="0056639C">
              <w:rPr>
                <w:sz w:val="20"/>
                <w:szCs w:val="20"/>
              </w:rPr>
              <w:t>111,687 (58.849%)</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2336FEBE" w14:textId="77777777" w:rsidR="00014797" w:rsidRPr="0056639C" w:rsidRDefault="00014797" w:rsidP="00640C34">
            <w:pPr>
              <w:spacing w:line="240" w:lineRule="auto"/>
              <w:jc w:val="center"/>
              <w:rPr>
                <w:sz w:val="20"/>
                <w:szCs w:val="20"/>
              </w:rPr>
            </w:pPr>
            <w:r w:rsidRPr="0056639C">
              <w:rPr>
                <w:sz w:val="20"/>
                <w:szCs w:val="20"/>
              </w:rPr>
              <w:t>125,846 (66.309%)</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0FD7805D" w14:textId="77777777" w:rsidR="00014797" w:rsidRPr="0056639C" w:rsidRDefault="00014797" w:rsidP="00640C34">
            <w:pPr>
              <w:spacing w:line="240" w:lineRule="auto"/>
              <w:jc w:val="center"/>
              <w:rPr>
                <w:sz w:val="20"/>
                <w:szCs w:val="20"/>
              </w:rPr>
            </w:pPr>
            <w:r w:rsidRPr="0056639C">
              <w:rPr>
                <w:sz w:val="20"/>
                <w:szCs w:val="20"/>
              </w:rPr>
              <w:t>0.1546</w:t>
            </w:r>
          </w:p>
        </w:tc>
      </w:tr>
      <w:tr w:rsidR="00014797" w:rsidRPr="0056639C" w14:paraId="540A4408" w14:textId="77777777" w:rsidTr="00071B0C">
        <w:trPr>
          <w:trHeight w:val="510"/>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E87925" w14:textId="77777777" w:rsidR="00014797" w:rsidRPr="0056639C" w:rsidRDefault="00014797" w:rsidP="00640C34">
            <w:pPr>
              <w:spacing w:line="240" w:lineRule="auto"/>
              <w:jc w:val="center"/>
              <w:rPr>
                <w:sz w:val="20"/>
                <w:szCs w:val="20"/>
              </w:rPr>
            </w:pPr>
            <w:r w:rsidRPr="0056639C">
              <w:rPr>
                <w:sz w:val="20"/>
                <w:szCs w:val="20"/>
              </w:rPr>
              <w:t>C00-D49 Neoplasms</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387C6D9D" w14:textId="77777777" w:rsidR="00014797" w:rsidRPr="0056639C" w:rsidRDefault="00014797" w:rsidP="00640C34">
            <w:pPr>
              <w:spacing w:line="240" w:lineRule="auto"/>
              <w:jc w:val="center"/>
              <w:rPr>
                <w:sz w:val="20"/>
                <w:szCs w:val="20"/>
              </w:rPr>
            </w:pPr>
            <w:r w:rsidRPr="0056639C">
              <w:rPr>
                <w:sz w:val="20"/>
                <w:szCs w:val="20"/>
              </w:rPr>
              <w:t>365,744 (31.877%)</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1885EC8A" w14:textId="77777777" w:rsidR="00014797" w:rsidRPr="0056639C" w:rsidRDefault="00014797" w:rsidP="00640C34">
            <w:pPr>
              <w:spacing w:line="240" w:lineRule="auto"/>
              <w:jc w:val="center"/>
              <w:rPr>
                <w:sz w:val="20"/>
                <w:szCs w:val="20"/>
              </w:rPr>
            </w:pPr>
            <w:r w:rsidRPr="0056639C">
              <w:rPr>
                <w:sz w:val="20"/>
                <w:szCs w:val="20"/>
              </w:rPr>
              <w:t>90,527 (47.69%)</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64D02F11" w14:textId="77777777" w:rsidR="00014797" w:rsidRPr="0056639C" w:rsidRDefault="00014797" w:rsidP="00640C34">
            <w:pPr>
              <w:spacing w:line="240" w:lineRule="auto"/>
              <w:jc w:val="center"/>
              <w:rPr>
                <w:sz w:val="20"/>
                <w:szCs w:val="20"/>
              </w:rPr>
            </w:pPr>
            <w:r w:rsidRPr="0056639C">
              <w:rPr>
                <w:sz w:val="20"/>
                <w:szCs w:val="20"/>
              </w:rPr>
              <w:t>0.3274</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21AA7D37" w14:textId="77777777" w:rsidR="00014797" w:rsidRPr="0056639C" w:rsidRDefault="00014797" w:rsidP="00640C34">
            <w:pPr>
              <w:spacing w:line="240" w:lineRule="auto"/>
              <w:jc w:val="center"/>
              <w:rPr>
                <w:sz w:val="20"/>
                <w:szCs w:val="20"/>
              </w:rPr>
            </w:pPr>
            <w:r w:rsidRPr="0056639C">
              <w:rPr>
                <w:sz w:val="20"/>
                <w:szCs w:val="20"/>
              </w:rPr>
              <w:t>90,791 (47.838%)</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249258E2" w14:textId="77777777" w:rsidR="00014797" w:rsidRPr="0056639C" w:rsidRDefault="00014797" w:rsidP="00640C34">
            <w:pPr>
              <w:spacing w:line="240" w:lineRule="auto"/>
              <w:jc w:val="center"/>
              <w:rPr>
                <w:sz w:val="20"/>
                <w:szCs w:val="20"/>
              </w:rPr>
            </w:pPr>
            <w:r w:rsidRPr="0056639C">
              <w:rPr>
                <w:sz w:val="20"/>
                <w:szCs w:val="20"/>
              </w:rPr>
              <w:t>90,500 (47.685%)</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1D68AEE5" w14:textId="77777777" w:rsidR="00014797" w:rsidRPr="0056639C" w:rsidRDefault="00014797" w:rsidP="00640C34">
            <w:pPr>
              <w:spacing w:line="240" w:lineRule="auto"/>
              <w:jc w:val="center"/>
              <w:rPr>
                <w:sz w:val="20"/>
                <w:szCs w:val="20"/>
              </w:rPr>
            </w:pPr>
            <w:r w:rsidRPr="0056639C">
              <w:rPr>
                <w:sz w:val="20"/>
                <w:szCs w:val="20"/>
              </w:rPr>
              <w:t>0.0031</w:t>
            </w:r>
          </w:p>
        </w:tc>
      </w:tr>
      <w:tr w:rsidR="00014797" w:rsidRPr="0056639C" w14:paraId="69C926B2" w14:textId="77777777" w:rsidTr="00071B0C">
        <w:trPr>
          <w:trHeight w:val="1260"/>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E0D3A1" w14:textId="77777777" w:rsidR="00014797" w:rsidRPr="0056639C" w:rsidRDefault="00014797" w:rsidP="00640C34">
            <w:pPr>
              <w:spacing w:line="240" w:lineRule="auto"/>
              <w:jc w:val="center"/>
              <w:rPr>
                <w:sz w:val="20"/>
                <w:szCs w:val="20"/>
              </w:rPr>
            </w:pPr>
            <w:r w:rsidRPr="0056639C">
              <w:rPr>
                <w:sz w:val="20"/>
                <w:szCs w:val="20"/>
              </w:rPr>
              <w:t>L00-L99 Diseases of the skin and subcutaneous tissue</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54239078" w14:textId="77777777" w:rsidR="00014797" w:rsidRPr="0056639C" w:rsidRDefault="00014797" w:rsidP="00640C34">
            <w:pPr>
              <w:spacing w:line="240" w:lineRule="auto"/>
              <w:jc w:val="center"/>
              <w:rPr>
                <w:sz w:val="20"/>
                <w:szCs w:val="20"/>
              </w:rPr>
            </w:pPr>
            <w:r w:rsidRPr="0056639C">
              <w:rPr>
                <w:sz w:val="20"/>
                <w:szCs w:val="20"/>
              </w:rPr>
              <w:t>347,592 (30.295%)</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736A2248" w14:textId="77777777" w:rsidR="00014797" w:rsidRPr="0056639C" w:rsidRDefault="00014797" w:rsidP="00640C34">
            <w:pPr>
              <w:spacing w:line="240" w:lineRule="auto"/>
              <w:jc w:val="center"/>
              <w:rPr>
                <w:sz w:val="20"/>
                <w:szCs w:val="20"/>
              </w:rPr>
            </w:pPr>
            <w:r w:rsidRPr="0056639C">
              <w:rPr>
                <w:sz w:val="20"/>
                <w:szCs w:val="20"/>
              </w:rPr>
              <w:t>86,383 (45.507%)</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49B22A6D" w14:textId="77777777" w:rsidR="00014797" w:rsidRPr="0056639C" w:rsidRDefault="00014797" w:rsidP="00640C34">
            <w:pPr>
              <w:spacing w:line="240" w:lineRule="auto"/>
              <w:jc w:val="center"/>
              <w:rPr>
                <w:sz w:val="20"/>
                <w:szCs w:val="20"/>
              </w:rPr>
            </w:pPr>
            <w:r w:rsidRPr="0056639C">
              <w:rPr>
                <w:sz w:val="20"/>
                <w:szCs w:val="20"/>
              </w:rPr>
              <w:t>0.3175</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5312849E" w14:textId="77777777" w:rsidR="00014797" w:rsidRPr="0056639C" w:rsidRDefault="00014797" w:rsidP="00640C34">
            <w:pPr>
              <w:spacing w:line="240" w:lineRule="auto"/>
              <w:jc w:val="center"/>
              <w:rPr>
                <w:sz w:val="20"/>
                <w:szCs w:val="20"/>
              </w:rPr>
            </w:pPr>
            <w:r w:rsidRPr="0056639C">
              <w:rPr>
                <w:sz w:val="20"/>
                <w:szCs w:val="20"/>
              </w:rPr>
              <w:t>85,425 (45.011%)</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08768641" w14:textId="77777777" w:rsidR="00014797" w:rsidRPr="0056639C" w:rsidRDefault="00014797" w:rsidP="00640C34">
            <w:pPr>
              <w:spacing w:line="240" w:lineRule="auto"/>
              <w:jc w:val="center"/>
              <w:rPr>
                <w:sz w:val="20"/>
                <w:szCs w:val="20"/>
              </w:rPr>
            </w:pPr>
            <w:r w:rsidRPr="0056639C">
              <w:rPr>
                <w:sz w:val="20"/>
                <w:szCs w:val="20"/>
              </w:rPr>
              <w:t>86,346 (45.496%)</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460931D2" w14:textId="77777777" w:rsidR="00014797" w:rsidRPr="0056639C" w:rsidRDefault="00014797" w:rsidP="00640C34">
            <w:pPr>
              <w:spacing w:line="240" w:lineRule="auto"/>
              <w:jc w:val="center"/>
              <w:rPr>
                <w:sz w:val="20"/>
                <w:szCs w:val="20"/>
              </w:rPr>
            </w:pPr>
            <w:r w:rsidRPr="0056639C">
              <w:rPr>
                <w:sz w:val="20"/>
                <w:szCs w:val="20"/>
              </w:rPr>
              <w:t>0.0097</w:t>
            </w:r>
          </w:p>
        </w:tc>
      </w:tr>
      <w:tr w:rsidR="00014797" w:rsidRPr="0056639C" w14:paraId="15EAD9D6" w14:textId="77777777" w:rsidTr="00071B0C">
        <w:trPr>
          <w:trHeight w:val="1260"/>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DE5999" w14:textId="77777777" w:rsidR="00014797" w:rsidRPr="0056639C" w:rsidRDefault="00014797" w:rsidP="00640C34">
            <w:pPr>
              <w:spacing w:line="240" w:lineRule="auto"/>
              <w:jc w:val="center"/>
              <w:rPr>
                <w:sz w:val="20"/>
                <w:szCs w:val="20"/>
              </w:rPr>
            </w:pPr>
            <w:r w:rsidRPr="0056639C">
              <w:rPr>
                <w:sz w:val="20"/>
                <w:szCs w:val="20"/>
              </w:rPr>
              <w:t>A00-B99 Certain infectious and parasitic diseases</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412021BE" w14:textId="77777777" w:rsidR="00014797" w:rsidRPr="0056639C" w:rsidRDefault="00014797" w:rsidP="00640C34">
            <w:pPr>
              <w:spacing w:line="240" w:lineRule="auto"/>
              <w:jc w:val="center"/>
              <w:rPr>
                <w:sz w:val="20"/>
                <w:szCs w:val="20"/>
              </w:rPr>
            </w:pPr>
            <w:r w:rsidRPr="0056639C">
              <w:rPr>
                <w:sz w:val="20"/>
                <w:szCs w:val="20"/>
              </w:rPr>
              <w:t>328,208 (28.606%)</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08BB43BA" w14:textId="77777777" w:rsidR="00014797" w:rsidRPr="0056639C" w:rsidRDefault="00014797" w:rsidP="00640C34">
            <w:pPr>
              <w:spacing w:line="240" w:lineRule="auto"/>
              <w:jc w:val="center"/>
              <w:rPr>
                <w:sz w:val="20"/>
                <w:szCs w:val="20"/>
              </w:rPr>
            </w:pPr>
            <w:r w:rsidRPr="0056639C">
              <w:rPr>
                <w:sz w:val="20"/>
                <w:szCs w:val="20"/>
              </w:rPr>
              <w:t>80,866 (42.6%)</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1321F7E9" w14:textId="77777777" w:rsidR="00014797" w:rsidRPr="0056639C" w:rsidRDefault="00014797" w:rsidP="00640C34">
            <w:pPr>
              <w:spacing w:line="240" w:lineRule="auto"/>
              <w:jc w:val="center"/>
              <w:rPr>
                <w:sz w:val="20"/>
                <w:szCs w:val="20"/>
              </w:rPr>
            </w:pPr>
            <w:r w:rsidRPr="0056639C">
              <w:rPr>
                <w:sz w:val="20"/>
                <w:szCs w:val="20"/>
              </w:rPr>
              <w:t>0.2954</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1930681C" w14:textId="77777777" w:rsidR="00014797" w:rsidRPr="0056639C" w:rsidRDefault="00014797" w:rsidP="00640C34">
            <w:pPr>
              <w:spacing w:line="240" w:lineRule="auto"/>
              <w:jc w:val="center"/>
              <w:rPr>
                <w:sz w:val="20"/>
                <w:szCs w:val="20"/>
              </w:rPr>
            </w:pPr>
            <w:r w:rsidRPr="0056639C">
              <w:rPr>
                <w:sz w:val="20"/>
                <w:szCs w:val="20"/>
              </w:rPr>
              <w:t>80,002 (42.154%)</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7116B211" w14:textId="77777777" w:rsidR="00014797" w:rsidRPr="0056639C" w:rsidRDefault="00014797" w:rsidP="00640C34">
            <w:pPr>
              <w:spacing w:line="240" w:lineRule="auto"/>
              <w:jc w:val="center"/>
              <w:rPr>
                <w:sz w:val="20"/>
                <w:szCs w:val="20"/>
              </w:rPr>
            </w:pPr>
            <w:r w:rsidRPr="0056639C">
              <w:rPr>
                <w:sz w:val="20"/>
                <w:szCs w:val="20"/>
              </w:rPr>
              <w:t>80,829 (42.589%)</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0EBA235A" w14:textId="77777777" w:rsidR="00014797" w:rsidRPr="0056639C" w:rsidRDefault="00014797" w:rsidP="00640C34">
            <w:pPr>
              <w:spacing w:line="240" w:lineRule="auto"/>
              <w:jc w:val="center"/>
              <w:rPr>
                <w:sz w:val="20"/>
                <w:szCs w:val="20"/>
              </w:rPr>
            </w:pPr>
            <w:r w:rsidRPr="0056639C">
              <w:rPr>
                <w:sz w:val="20"/>
                <w:szCs w:val="20"/>
              </w:rPr>
              <w:t>0.0088</w:t>
            </w:r>
          </w:p>
        </w:tc>
      </w:tr>
      <w:tr w:rsidR="00014797" w:rsidRPr="0056639C" w14:paraId="73EDC1FC" w14:textId="77777777" w:rsidTr="00071B0C">
        <w:trPr>
          <w:trHeight w:val="765"/>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B3ABAC" w14:textId="77777777" w:rsidR="00014797" w:rsidRPr="0056639C" w:rsidRDefault="00014797" w:rsidP="00640C34">
            <w:pPr>
              <w:spacing w:line="240" w:lineRule="auto"/>
              <w:jc w:val="center"/>
              <w:rPr>
                <w:sz w:val="20"/>
                <w:szCs w:val="20"/>
              </w:rPr>
            </w:pPr>
            <w:r w:rsidRPr="0056639C">
              <w:rPr>
                <w:sz w:val="20"/>
                <w:szCs w:val="20"/>
              </w:rPr>
              <w:t>D50-D89 Diseases of the blood</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20CDE9E3" w14:textId="77777777" w:rsidR="00014797" w:rsidRPr="0056639C" w:rsidRDefault="00014797" w:rsidP="00640C34">
            <w:pPr>
              <w:spacing w:line="240" w:lineRule="auto"/>
              <w:jc w:val="center"/>
              <w:rPr>
                <w:sz w:val="20"/>
                <w:szCs w:val="20"/>
              </w:rPr>
            </w:pPr>
            <w:r w:rsidRPr="0056639C">
              <w:rPr>
                <w:sz w:val="20"/>
                <w:szCs w:val="20"/>
              </w:rPr>
              <w:t>270,919 (23.613%)</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16925B72" w14:textId="77777777" w:rsidR="00014797" w:rsidRPr="0056639C" w:rsidRDefault="00014797" w:rsidP="00640C34">
            <w:pPr>
              <w:spacing w:line="240" w:lineRule="auto"/>
              <w:jc w:val="center"/>
              <w:rPr>
                <w:sz w:val="20"/>
                <w:szCs w:val="20"/>
              </w:rPr>
            </w:pPr>
            <w:r w:rsidRPr="0056639C">
              <w:rPr>
                <w:sz w:val="20"/>
                <w:szCs w:val="20"/>
              </w:rPr>
              <w:t>79,618 (41.943%)</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07CADDD0" w14:textId="77777777" w:rsidR="00014797" w:rsidRPr="0056639C" w:rsidRDefault="00014797" w:rsidP="00640C34">
            <w:pPr>
              <w:spacing w:line="240" w:lineRule="auto"/>
              <w:jc w:val="center"/>
              <w:rPr>
                <w:sz w:val="20"/>
                <w:szCs w:val="20"/>
              </w:rPr>
            </w:pPr>
            <w:r w:rsidRPr="0056639C">
              <w:rPr>
                <w:sz w:val="20"/>
                <w:szCs w:val="20"/>
              </w:rPr>
              <w:t>0.3982</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0CAC2D49" w14:textId="77777777" w:rsidR="00014797" w:rsidRPr="0056639C" w:rsidRDefault="00014797" w:rsidP="00640C34">
            <w:pPr>
              <w:spacing w:line="240" w:lineRule="auto"/>
              <w:jc w:val="center"/>
              <w:rPr>
                <w:sz w:val="20"/>
                <w:szCs w:val="20"/>
              </w:rPr>
            </w:pPr>
            <w:r w:rsidRPr="0056639C">
              <w:rPr>
                <w:sz w:val="20"/>
                <w:szCs w:val="20"/>
              </w:rPr>
              <w:t>79,034 (41.644%)</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44521040" w14:textId="77777777" w:rsidR="00014797" w:rsidRPr="0056639C" w:rsidRDefault="00014797" w:rsidP="00640C34">
            <w:pPr>
              <w:spacing w:line="240" w:lineRule="auto"/>
              <w:jc w:val="center"/>
              <w:rPr>
                <w:sz w:val="20"/>
                <w:szCs w:val="20"/>
              </w:rPr>
            </w:pPr>
            <w:r w:rsidRPr="0056639C">
              <w:rPr>
                <w:sz w:val="20"/>
                <w:szCs w:val="20"/>
              </w:rPr>
              <w:t>79,580 (41.931%)</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1B465313" w14:textId="77777777" w:rsidR="00014797" w:rsidRPr="0056639C" w:rsidRDefault="00014797" w:rsidP="00640C34">
            <w:pPr>
              <w:spacing w:line="240" w:lineRule="auto"/>
              <w:jc w:val="center"/>
              <w:rPr>
                <w:sz w:val="20"/>
                <w:szCs w:val="20"/>
              </w:rPr>
            </w:pPr>
            <w:r w:rsidRPr="0056639C">
              <w:rPr>
                <w:sz w:val="20"/>
                <w:szCs w:val="20"/>
              </w:rPr>
              <w:t>0.0058</w:t>
            </w:r>
          </w:p>
        </w:tc>
      </w:tr>
      <w:tr w:rsidR="00014797" w:rsidRPr="0056639C" w14:paraId="7E557D70" w14:textId="77777777" w:rsidTr="00071B0C">
        <w:trPr>
          <w:trHeight w:val="1005"/>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37E8B2" w14:textId="77777777" w:rsidR="00014797" w:rsidRPr="0056639C" w:rsidRDefault="00014797" w:rsidP="00640C34">
            <w:pPr>
              <w:spacing w:line="240" w:lineRule="auto"/>
              <w:jc w:val="center"/>
              <w:rPr>
                <w:sz w:val="20"/>
                <w:szCs w:val="20"/>
              </w:rPr>
            </w:pPr>
            <w:r w:rsidRPr="0056639C">
              <w:rPr>
                <w:sz w:val="20"/>
                <w:szCs w:val="20"/>
              </w:rPr>
              <w:lastRenderedPageBreak/>
              <w:t>H00-H59 Diseases of the eye and adnexa</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12E6A9CB" w14:textId="77777777" w:rsidR="00014797" w:rsidRPr="0056639C" w:rsidRDefault="00014797" w:rsidP="00640C34">
            <w:pPr>
              <w:spacing w:line="240" w:lineRule="auto"/>
              <w:jc w:val="center"/>
              <w:rPr>
                <w:sz w:val="20"/>
                <w:szCs w:val="20"/>
              </w:rPr>
            </w:pPr>
            <w:r w:rsidRPr="0056639C">
              <w:rPr>
                <w:sz w:val="20"/>
                <w:szCs w:val="20"/>
              </w:rPr>
              <w:t>224,429 (19.561%)</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360C7BE8" w14:textId="77777777" w:rsidR="00014797" w:rsidRPr="0056639C" w:rsidRDefault="00014797" w:rsidP="00640C34">
            <w:pPr>
              <w:spacing w:line="240" w:lineRule="auto"/>
              <w:jc w:val="center"/>
              <w:rPr>
                <w:sz w:val="20"/>
                <w:szCs w:val="20"/>
              </w:rPr>
            </w:pPr>
            <w:r w:rsidRPr="0056639C">
              <w:rPr>
                <w:sz w:val="20"/>
                <w:szCs w:val="20"/>
              </w:rPr>
              <w:t>60,963 (32.115%)</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17FA55BD" w14:textId="77777777" w:rsidR="00014797" w:rsidRPr="0056639C" w:rsidRDefault="00014797" w:rsidP="00640C34">
            <w:pPr>
              <w:spacing w:line="240" w:lineRule="auto"/>
              <w:jc w:val="center"/>
              <w:rPr>
                <w:sz w:val="20"/>
                <w:szCs w:val="20"/>
              </w:rPr>
            </w:pPr>
            <w:r w:rsidRPr="0056639C">
              <w:rPr>
                <w:sz w:val="20"/>
                <w:szCs w:val="20"/>
              </w:rPr>
              <w:t>0.2898</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79B8010F" w14:textId="77777777" w:rsidR="00014797" w:rsidRPr="0056639C" w:rsidRDefault="00014797" w:rsidP="00640C34">
            <w:pPr>
              <w:spacing w:line="240" w:lineRule="auto"/>
              <w:jc w:val="center"/>
              <w:rPr>
                <w:sz w:val="20"/>
                <w:szCs w:val="20"/>
              </w:rPr>
            </w:pPr>
            <w:r w:rsidRPr="0056639C">
              <w:rPr>
                <w:sz w:val="20"/>
                <w:szCs w:val="20"/>
              </w:rPr>
              <w:t>59,090 (31.135%)</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230D8EA4" w14:textId="77777777" w:rsidR="00014797" w:rsidRPr="0056639C" w:rsidRDefault="00014797" w:rsidP="00640C34">
            <w:pPr>
              <w:spacing w:line="240" w:lineRule="auto"/>
              <w:jc w:val="center"/>
              <w:rPr>
                <w:sz w:val="20"/>
                <w:szCs w:val="20"/>
              </w:rPr>
            </w:pPr>
            <w:r w:rsidRPr="0056639C">
              <w:rPr>
                <w:sz w:val="20"/>
                <w:szCs w:val="20"/>
              </w:rPr>
              <w:t>60,925 (32.102%)</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5A25FC86" w14:textId="77777777" w:rsidR="00014797" w:rsidRPr="0056639C" w:rsidRDefault="00014797" w:rsidP="00640C34">
            <w:pPr>
              <w:spacing w:line="240" w:lineRule="auto"/>
              <w:jc w:val="center"/>
              <w:rPr>
                <w:sz w:val="20"/>
                <w:szCs w:val="20"/>
              </w:rPr>
            </w:pPr>
            <w:r w:rsidRPr="0056639C">
              <w:rPr>
                <w:sz w:val="20"/>
                <w:szCs w:val="20"/>
              </w:rPr>
              <w:t>0.0208</w:t>
            </w:r>
          </w:p>
        </w:tc>
      </w:tr>
      <w:tr w:rsidR="00014797" w:rsidRPr="0056639C" w14:paraId="65A5CC56" w14:textId="77777777" w:rsidTr="00071B0C">
        <w:trPr>
          <w:trHeight w:val="1005"/>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BA2CF2" w14:textId="77777777" w:rsidR="00014797" w:rsidRPr="0056639C" w:rsidRDefault="00014797" w:rsidP="00640C34">
            <w:pPr>
              <w:spacing w:line="240" w:lineRule="auto"/>
              <w:jc w:val="center"/>
              <w:rPr>
                <w:sz w:val="20"/>
                <w:szCs w:val="20"/>
              </w:rPr>
            </w:pPr>
            <w:r w:rsidRPr="0056639C">
              <w:rPr>
                <w:sz w:val="20"/>
                <w:szCs w:val="20"/>
              </w:rPr>
              <w:t>U00-U85 Codes for special purposes</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715B121C" w14:textId="77777777" w:rsidR="00014797" w:rsidRPr="0056639C" w:rsidRDefault="00014797" w:rsidP="00640C34">
            <w:pPr>
              <w:spacing w:line="240" w:lineRule="auto"/>
              <w:jc w:val="center"/>
              <w:rPr>
                <w:sz w:val="20"/>
                <w:szCs w:val="20"/>
              </w:rPr>
            </w:pPr>
            <w:r w:rsidRPr="0056639C">
              <w:rPr>
                <w:sz w:val="20"/>
                <w:szCs w:val="20"/>
              </w:rPr>
              <w:t>45,442 (3.961%)</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4DD29FFA" w14:textId="77777777" w:rsidR="00014797" w:rsidRPr="0056639C" w:rsidRDefault="00014797" w:rsidP="00640C34">
            <w:pPr>
              <w:spacing w:line="240" w:lineRule="auto"/>
              <w:jc w:val="center"/>
              <w:rPr>
                <w:sz w:val="20"/>
                <w:szCs w:val="20"/>
              </w:rPr>
            </w:pPr>
            <w:r w:rsidRPr="0056639C">
              <w:rPr>
                <w:sz w:val="20"/>
                <w:szCs w:val="20"/>
              </w:rPr>
              <w:t>13,498 (7.111%)</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24501190" w14:textId="77777777" w:rsidR="00014797" w:rsidRPr="0056639C" w:rsidRDefault="00014797" w:rsidP="00640C34">
            <w:pPr>
              <w:spacing w:line="240" w:lineRule="auto"/>
              <w:jc w:val="center"/>
              <w:rPr>
                <w:sz w:val="20"/>
                <w:szCs w:val="20"/>
              </w:rPr>
            </w:pPr>
            <w:r w:rsidRPr="0056639C">
              <w:rPr>
                <w:sz w:val="20"/>
                <w:szCs w:val="20"/>
              </w:rPr>
              <w:t>0.1381</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2EBE8FB0" w14:textId="77777777" w:rsidR="00014797" w:rsidRPr="0056639C" w:rsidRDefault="00014797" w:rsidP="00640C34">
            <w:pPr>
              <w:spacing w:line="240" w:lineRule="auto"/>
              <w:jc w:val="center"/>
              <w:rPr>
                <w:sz w:val="20"/>
                <w:szCs w:val="20"/>
              </w:rPr>
            </w:pPr>
            <w:r w:rsidRPr="0056639C">
              <w:rPr>
                <w:sz w:val="20"/>
                <w:szCs w:val="20"/>
              </w:rPr>
              <w:t>13,297 (7.006%)</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5F9B2CA0" w14:textId="77777777" w:rsidR="00014797" w:rsidRPr="0056639C" w:rsidRDefault="00014797" w:rsidP="00640C34">
            <w:pPr>
              <w:spacing w:line="240" w:lineRule="auto"/>
              <w:jc w:val="center"/>
              <w:rPr>
                <w:sz w:val="20"/>
                <w:szCs w:val="20"/>
              </w:rPr>
            </w:pPr>
            <w:r w:rsidRPr="0056639C">
              <w:rPr>
                <w:sz w:val="20"/>
                <w:szCs w:val="20"/>
              </w:rPr>
              <w:t>13,489 (7.107%)</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5F0BE039" w14:textId="77777777" w:rsidR="00014797" w:rsidRPr="0056639C" w:rsidRDefault="00014797" w:rsidP="00640C34">
            <w:pPr>
              <w:spacing w:line="240" w:lineRule="auto"/>
              <w:jc w:val="center"/>
              <w:rPr>
                <w:sz w:val="20"/>
                <w:szCs w:val="20"/>
              </w:rPr>
            </w:pPr>
            <w:r w:rsidRPr="0056639C">
              <w:rPr>
                <w:sz w:val="20"/>
                <w:szCs w:val="20"/>
              </w:rPr>
              <w:t>0.0040</w:t>
            </w:r>
          </w:p>
        </w:tc>
      </w:tr>
      <w:tr w:rsidR="00014797" w:rsidRPr="0056639C" w14:paraId="678ADB71" w14:textId="77777777" w:rsidTr="00071B0C">
        <w:trPr>
          <w:trHeight w:val="1500"/>
        </w:trPr>
        <w:tc>
          <w:tcPr>
            <w:tcW w:w="14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9CF315" w14:textId="77777777" w:rsidR="00014797" w:rsidRPr="0056639C" w:rsidRDefault="00014797" w:rsidP="00640C34">
            <w:pPr>
              <w:spacing w:line="240" w:lineRule="auto"/>
              <w:jc w:val="center"/>
              <w:rPr>
                <w:sz w:val="20"/>
                <w:szCs w:val="20"/>
              </w:rPr>
            </w:pPr>
            <w:r w:rsidRPr="0056639C">
              <w:rPr>
                <w:sz w:val="20"/>
                <w:szCs w:val="20"/>
              </w:rPr>
              <w:t>P00-P96 Certain conditions originating in the perinatal period</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34263F6D" w14:textId="77777777" w:rsidR="00014797" w:rsidRPr="0056639C" w:rsidRDefault="00014797" w:rsidP="00640C34">
            <w:pPr>
              <w:spacing w:line="240" w:lineRule="auto"/>
              <w:jc w:val="center"/>
              <w:rPr>
                <w:sz w:val="20"/>
                <w:szCs w:val="20"/>
              </w:rPr>
            </w:pPr>
            <w:r w:rsidRPr="0056639C">
              <w:rPr>
                <w:sz w:val="20"/>
                <w:szCs w:val="20"/>
              </w:rPr>
              <w:t>26,202 (2.284%)</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3A5C076C" w14:textId="77777777" w:rsidR="00014797" w:rsidRPr="0056639C" w:rsidRDefault="00014797" w:rsidP="00640C34">
            <w:pPr>
              <w:spacing w:line="240" w:lineRule="auto"/>
              <w:jc w:val="center"/>
              <w:rPr>
                <w:sz w:val="20"/>
                <w:szCs w:val="20"/>
              </w:rPr>
            </w:pPr>
            <w:r w:rsidRPr="0056639C">
              <w:rPr>
                <w:sz w:val="20"/>
                <w:szCs w:val="20"/>
              </w:rPr>
              <w:t>1,407 (0.741%)</w:t>
            </w:r>
          </w:p>
        </w:tc>
        <w:tc>
          <w:tcPr>
            <w:tcW w:w="1432" w:type="dxa"/>
            <w:tcBorders>
              <w:top w:val="nil"/>
              <w:left w:val="nil"/>
              <w:bottom w:val="single" w:sz="6" w:space="0" w:color="000000"/>
              <w:right w:val="single" w:sz="6" w:space="0" w:color="000000"/>
            </w:tcBorders>
            <w:tcMar>
              <w:top w:w="0" w:type="dxa"/>
              <w:left w:w="100" w:type="dxa"/>
              <w:bottom w:w="0" w:type="dxa"/>
              <w:right w:w="100" w:type="dxa"/>
            </w:tcMar>
          </w:tcPr>
          <w:p w14:paraId="7795975E" w14:textId="77777777" w:rsidR="00014797" w:rsidRPr="0056639C" w:rsidRDefault="00014797" w:rsidP="00640C34">
            <w:pPr>
              <w:spacing w:line="240" w:lineRule="auto"/>
              <w:jc w:val="center"/>
              <w:rPr>
                <w:sz w:val="20"/>
                <w:szCs w:val="20"/>
              </w:rPr>
            </w:pPr>
            <w:r w:rsidRPr="0056639C">
              <w:rPr>
                <w:sz w:val="20"/>
                <w:szCs w:val="20"/>
              </w:rPr>
              <w:t>0.1266</w:t>
            </w:r>
          </w:p>
        </w:tc>
        <w:tc>
          <w:tcPr>
            <w:tcW w:w="1260" w:type="dxa"/>
            <w:tcBorders>
              <w:top w:val="nil"/>
              <w:left w:val="nil"/>
              <w:bottom w:val="single" w:sz="6" w:space="0" w:color="000000"/>
              <w:right w:val="single" w:sz="6" w:space="0" w:color="000000"/>
            </w:tcBorders>
            <w:tcMar>
              <w:top w:w="0" w:type="dxa"/>
              <w:left w:w="100" w:type="dxa"/>
              <w:bottom w:w="0" w:type="dxa"/>
              <w:right w:w="100" w:type="dxa"/>
            </w:tcMar>
          </w:tcPr>
          <w:p w14:paraId="40DCE8E2" w14:textId="77777777" w:rsidR="00014797" w:rsidRPr="0056639C" w:rsidRDefault="00014797" w:rsidP="00640C34">
            <w:pPr>
              <w:spacing w:line="240" w:lineRule="auto"/>
              <w:jc w:val="center"/>
              <w:rPr>
                <w:sz w:val="20"/>
                <w:szCs w:val="20"/>
              </w:rPr>
            </w:pPr>
            <w:r w:rsidRPr="0056639C">
              <w:rPr>
                <w:sz w:val="20"/>
                <w:szCs w:val="20"/>
              </w:rPr>
              <w:t>902 (0.475%)</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75DF09FA" w14:textId="77777777" w:rsidR="00014797" w:rsidRPr="0056639C" w:rsidRDefault="00014797" w:rsidP="00640C34">
            <w:pPr>
              <w:spacing w:line="240" w:lineRule="auto"/>
              <w:jc w:val="center"/>
              <w:rPr>
                <w:sz w:val="20"/>
                <w:szCs w:val="20"/>
              </w:rPr>
            </w:pPr>
            <w:r w:rsidRPr="0056639C">
              <w:rPr>
                <w:sz w:val="20"/>
                <w:szCs w:val="20"/>
              </w:rPr>
              <w:t>1,407 (0.741%)</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088EC0E6" w14:textId="77777777" w:rsidR="00014797" w:rsidRPr="0056639C" w:rsidRDefault="00014797" w:rsidP="00640C34">
            <w:pPr>
              <w:spacing w:line="240" w:lineRule="auto"/>
              <w:jc w:val="center"/>
              <w:rPr>
                <w:sz w:val="20"/>
                <w:szCs w:val="20"/>
              </w:rPr>
            </w:pPr>
            <w:r w:rsidRPr="0056639C">
              <w:rPr>
                <w:sz w:val="20"/>
                <w:szCs w:val="20"/>
              </w:rPr>
              <w:t>0.0342</w:t>
            </w:r>
          </w:p>
        </w:tc>
      </w:tr>
    </w:tbl>
    <w:p w14:paraId="4D3CC18D" w14:textId="77777777" w:rsidR="00562164" w:rsidRPr="0056639C" w:rsidRDefault="00562164">
      <w:pPr>
        <w:spacing w:line="360" w:lineRule="auto"/>
        <w:rPr>
          <w:sz w:val="20"/>
          <w:szCs w:val="20"/>
        </w:rPr>
      </w:pPr>
    </w:p>
    <w:p w14:paraId="7E5BA0AE" w14:textId="77777777" w:rsidR="00562164" w:rsidRPr="00545FD4" w:rsidRDefault="00562164">
      <w:pPr>
        <w:rPr>
          <w:sz w:val="20"/>
          <w:szCs w:val="20"/>
          <w:lang w:val="en-US"/>
        </w:rPr>
      </w:pPr>
      <w:r w:rsidRPr="0056639C">
        <w:rPr>
          <w:sz w:val="20"/>
          <w:szCs w:val="20"/>
        </w:rPr>
        <w:br w:type="page"/>
      </w:r>
    </w:p>
    <w:p w14:paraId="32833EDD" w14:textId="59BEC350" w:rsidR="00562164" w:rsidRPr="0056639C" w:rsidRDefault="00562164" w:rsidP="00562164">
      <w:pPr>
        <w:spacing w:line="360" w:lineRule="auto"/>
        <w:rPr>
          <w:bCs/>
          <w:iCs/>
          <w:sz w:val="20"/>
          <w:szCs w:val="20"/>
        </w:rPr>
      </w:pPr>
      <w:r w:rsidRPr="0056639C">
        <w:rPr>
          <w:b/>
          <w:i/>
          <w:sz w:val="20"/>
          <w:szCs w:val="20"/>
        </w:rPr>
        <w:lastRenderedPageBreak/>
        <w:t>Supplementary Table S1:</w:t>
      </w:r>
      <w:r w:rsidRPr="00545FD4">
        <w:rPr>
          <w:bCs/>
          <w:iCs/>
          <w:sz w:val="20"/>
          <w:szCs w:val="20"/>
        </w:rPr>
        <w:t xml:space="preserve"> Pre-Matching Cohort Comparison Across Procedure and Medication Variables by the </w:t>
      </w:r>
      <w:proofErr w:type="spellStart"/>
      <w:r w:rsidRPr="00545FD4">
        <w:rPr>
          <w:bCs/>
          <w:iCs/>
          <w:sz w:val="20"/>
          <w:szCs w:val="20"/>
        </w:rPr>
        <w:t>TriNetX</w:t>
      </w:r>
      <w:proofErr w:type="spellEnd"/>
    </w:p>
    <w:p w14:paraId="295943D4" w14:textId="7E420E67" w:rsidR="00562164" w:rsidRPr="0056639C" w:rsidRDefault="00562164" w:rsidP="00562164">
      <w:pPr>
        <w:spacing w:line="360" w:lineRule="auto"/>
        <w:rPr>
          <w:bCs/>
          <w:iCs/>
          <w:sz w:val="20"/>
          <w:szCs w:val="20"/>
        </w:rPr>
      </w:pPr>
      <w:proofErr w:type="spellStart"/>
      <w:r w:rsidRPr="0056639C">
        <w:rPr>
          <w:bCs/>
          <w:iCs/>
          <w:sz w:val="20"/>
          <w:szCs w:val="20"/>
        </w:rPr>
        <w:t>TriNetX</w:t>
      </w:r>
      <w:proofErr w:type="spellEnd"/>
      <w:r w:rsidRPr="0056639C">
        <w:rPr>
          <w:bCs/>
          <w:iCs/>
          <w:sz w:val="20"/>
          <w:szCs w:val="20"/>
        </w:rPr>
        <w:t xml:space="preserve"> automatically screens demographics, all 22 ICD-10 chapters, CPT procedure categories, and VA medication classes, entering variables flagged as significantly different at baseline into 1:1 greedy nearest-neighbor propensity-score matching (caliper 0.1, without replacement). Unflagged variables — including those listed below — were not used in matching and have no post-match SMD</w:t>
      </w:r>
      <w:r w:rsidR="009503CE" w:rsidRPr="0056639C">
        <w:rPr>
          <w:bCs/>
          <w:iCs/>
          <w:sz w:val="20"/>
          <w:szCs w:val="2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1019"/>
        <w:gridCol w:w="1993"/>
        <w:gridCol w:w="1993"/>
        <w:gridCol w:w="958"/>
      </w:tblGrid>
      <w:tr w:rsidR="00562164" w:rsidRPr="0056639C" w14:paraId="0D4D4EDA" w14:textId="77777777" w:rsidTr="00562164">
        <w:trPr>
          <w:tblHeader/>
        </w:trPr>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FDF90D" w14:textId="77777777" w:rsidR="00562164" w:rsidRPr="00545FD4" w:rsidRDefault="00562164" w:rsidP="000463C7">
            <w:pPr>
              <w:rPr>
                <w:sz w:val="20"/>
                <w:szCs w:val="20"/>
              </w:rPr>
            </w:pPr>
            <w:r w:rsidRPr="00545FD4">
              <w:rPr>
                <w:b/>
                <w:bCs/>
                <w:sz w:val="20"/>
                <w:szCs w:val="20"/>
              </w:rPr>
              <w:t>Variable</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B4812BB" w14:textId="77777777" w:rsidR="00562164" w:rsidRPr="00545FD4" w:rsidRDefault="00562164" w:rsidP="000463C7">
            <w:pPr>
              <w:rPr>
                <w:sz w:val="20"/>
                <w:szCs w:val="20"/>
              </w:rPr>
            </w:pPr>
            <w:proofErr w:type="spellStart"/>
            <w:r w:rsidRPr="00545FD4">
              <w:rPr>
                <w:b/>
                <w:bCs/>
                <w:sz w:val="20"/>
                <w:szCs w:val="20"/>
              </w:rPr>
              <w:t>TriNetX</w:t>
            </w:r>
            <w:proofErr w:type="spellEnd"/>
            <w:r w:rsidRPr="00545FD4">
              <w:rPr>
                <w:b/>
                <w:bCs/>
                <w:sz w:val="20"/>
                <w:szCs w:val="20"/>
              </w:rPr>
              <w:t xml:space="preserve"> code</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70373D1" w14:textId="77777777" w:rsidR="00562164" w:rsidRPr="00545FD4" w:rsidRDefault="00562164" w:rsidP="000463C7">
            <w:pPr>
              <w:rPr>
                <w:sz w:val="20"/>
                <w:szCs w:val="20"/>
              </w:rPr>
            </w:pPr>
            <w:r w:rsidRPr="00545FD4">
              <w:rPr>
                <w:b/>
                <w:bCs/>
                <w:sz w:val="20"/>
                <w:szCs w:val="20"/>
              </w:rPr>
              <w:t>Diabetes cohort</w:t>
            </w:r>
          </w:p>
          <w:p w14:paraId="4A7ED146" w14:textId="77777777" w:rsidR="00562164" w:rsidRPr="00545FD4" w:rsidRDefault="00562164" w:rsidP="000463C7">
            <w:pPr>
              <w:rPr>
                <w:sz w:val="20"/>
                <w:szCs w:val="20"/>
              </w:rPr>
            </w:pPr>
            <w:r w:rsidRPr="00545FD4">
              <w:rPr>
                <w:b/>
                <w:bCs/>
                <w:sz w:val="20"/>
                <w:szCs w:val="20"/>
              </w:rPr>
              <w:t>n (% of 141,645)</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E2F34AE" w14:textId="77777777" w:rsidR="00562164" w:rsidRPr="00545FD4" w:rsidRDefault="00562164" w:rsidP="000463C7">
            <w:pPr>
              <w:rPr>
                <w:sz w:val="20"/>
                <w:szCs w:val="20"/>
              </w:rPr>
            </w:pPr>
            <w:r w:rsidRPr="00545FD4">
              <w:rPr>
                <w:b/>
                <w:bCs/>
                <w:sz w:val="20"/>
                <w:szCs w:val="20"/>
              </w:rPr>
              <w:t>Non-diabetic cohort</w:t>
            </w:r>
          </w:p>
          <w:p w14:paraId="7404F7A3" w14:textId="77777777" w:rsidR="00562164" w:rsidRPr="00545FD4" w:rsidRDefault="00562164" w:rsidP="000463C7">
            <w:pPr>
              <w:rPr>
                <w:sz w:val="20"/>
                <w:szCs w:val="20"/>
              </w:rPr>
            </w:pPr>
            <w:r w:rsidRPr="00545FD4">
              <w:rPr>
                <w:b/>
                <w:bCs/>
                <w:sz w:val="20"/>
                <w:szCs w:val="20"/>
              </w:rPr>
              <w:t>n (% of 264,154)</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D9D0ECA" w14:textId="3C62AC36" w:rsidR="00562164" w:rsidRPr="00545FD4" w:rsidRDefault="00562164" w:rsidP="000463C7">
            <w:pPr>
              <w:rPr>
                <w:sz w:val="20"/>
                <w:szCs w:val="20"/>
              </w:rPr>
            </w:pPr>
            <w:r w:rsidRPr="00545FD4">
              <w:rPr>
                <w:b/>
                <w:bCs/>
                <w:sz w:val="20"/>
                <w:szCs w:val="20"/>
              </w:rPr>
              <w:t>Δ (pp)</w:t>
            </w:r>
            <w:r w:rsidRPr="0056639C">
              <w:rPr>
                <w:b/>
                <w:bCs/>
                <w:sz w:val="20"/>
                <w:szCs w:val="20"/>
              </w:rPr>
              <w:t>*</w:t>
            </w:r>
          </w:p>
        </w:tc>
      </w:tr>
      <w:tr w:rsidR="00562164" w:rsidRPr="0056639C" w14:paraId="6C59C21A" w14:textId="77777777" w:rsidTr="000463C7">
        <w:tc>
          <w:tcPr>
            <w:tcW w:w="9360" w:type="dxa"/>
            <w:gridSpan w:val="5"/>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9D6B139" w14:textId="77777777" w:rsidR="00562164" w:rsidRPr="00545FD4" w:rsidRDefault="00562164" w:rsidP="000463C7">
            <w:pPr>
              <w:rPr>
                <w:sz w:val="20"/>
                <w:szCs w:val="20"/>
              </w:rPr>
            </w:pPr>
            <w:r w:rsidRPr="00545FD4">
              <w:rPr>
                <w:b/>
                <w:bCs/>
                <w:i/>
                <w:iCs/>
                <w:sz w:val="20"/>
                <w:szCs w:val="20"/>
              </w:rPr>
              <w:t>A. CPT Procedure Categories (</w:t>
            </w:r>
            <w:proofErr w:type="spellStart"/>
            <w:r w:rsidRPr="00545FD4">
              <w:rPr>
                <w:b/>
                <w:bCs/>
                <w:i/>
                <w:iCs/>
                <w:sz w:val="20"/>
                <w:szCs w:val="20"/>
              </w:rPr>
              <w:t>TriNetX</w:t>
            </w:r>
            <w:proofErr w:type="spellEnd"/>
            <w:r w:rsidRPr="00545FD4">
              <w:rPr>
                <w:b/>
                <w:bCs/>
                <w:i/>
                <w:iCs/>
                <w:sz w:val="20"/>
                <w:szCs w:val="20"/>
              </w:rPr>
              <w:t>-defined procedure groupings)</w:t>
            </w:r>
          </w:p>
        </w:tc>
      </w:tr>
      <w:tr w:rsidR="00562164" w:rsidRPr="0056639C" w14:paraId="361DD86C"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A785CF3" w14:textId="77777777" w:rsidR="00562164" w:rsidRPr="00545FD4" w:rsidRDefault="00562164" w:rsidP="000463C7">
            <w:pPr>
              <w:rPr>
                <w:sz w:val="20"/>
                <w:szCs w:val="20"/>
              </w:rPr>
            </w:pPr>
            <w:r w:rsidRPr="00545FD4">
              <w:rPr>
                <w:sz w:val="20"/>
                <w:szCs w:val="20"/>
              </w:rPr>
              <w:t>Anesthesia procedures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692B9B6" w14:textId="77777777" w:rsidR="00562164" w:rsidRPr="00545FD4" w:rsidRDefault="00562164" w:rsidP="000463C7">
            <w:pPr>
              <w:rPr>
                <w:sz w:val="20"/>
                <w:szCs w:val="20"/>
              </w:rPr>
            </w:pPr>
            <w:r w:rsidRPr="00545FD4">
              <w:rPr>
                <w:sz w:val="20"/>
                <w:szCs w:val="20"/>
              </w:rPr>
              <w:t>1002796</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5EB3004" w14:textId="77777777" w:rsidR="00562164" w:rsidRPr="00545FD4" w:rsidRDefault="00562164" w:rsidP="000463C7">
            <w:pPr>
              <w:rPr>
                <w:sz w:val="20"/>
                <w:szCs w:val="20"/>
              </w:rPr>
            </w:pPr>
            <w:r w:rsidRPr="00545FD4">
              <w:rPr>
                <w:sz w:val="20"/>
                <w:szCs w:val="20"/>
              </w:rPr>
              <w:t>141,644 (100.0%)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9DEC6E" w14:textId="77777777" w:rsidR="00562164" w:rsidRPr="00545FD4" w:rsidRDefault="00562164" w:rsidP="000463C7">
            <w:pPr>
              <w:rPr>
                <w:sz w:val="20"/>
                <w:szCs w:val="20"/>
              </w:rPr>
            </w:pPr>
            <w:r w:rsidRPr="00545FD4">
              <w:rPr>
                <w:sz w:val="20"/>
                <w:szCs w:val="20"/>
              </w:rPr>
              <w:t>264,154 (100.0%)</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7843624" w14:textId="77777777" w:rsidR="00562164" w:rsidRPr="00545FD4" w:rsidRDefault="00562164" w:rsidP="000463C7">
            <w:pPr>
              <w:rPr>
                <w:sz w:val="20"/>
                <w:szCs w:val="20"/>
              </w:rPr>
            </w:pPr>
            <w:r w:rsidRPr="00545FD4">
              <w:rPr>
                <w:sz w:val="20"/>
                <w:szCs w:val="20"/>
              </w:rPr>
              <w:t>-0.0</w:t>
            </w:r>
          </w:p>
        </w:tc>
      </w:tr>
      <w:tr w:rsidR="00562164" w:rsidRPr="0056639C" w14:paraId="697681ED"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2047CCE" w14:textId="77777777" w:rsidR="00562164" w:rsidRPr="00545FD4" w:rsidRDefault="00562164" w:rsidP="000463C7">
            <w:pPr>
              <w:rPr>
                <w:sz w:val="20"/>
                <w:szCs w:val="20"/>
              </w:rPr>
            </w:pPr>
            <w:r w:rsidRPr="00545FD4">
              <w:rPr>
                <w:sz w:val="20"/>
                <w:szCs w:val="20"/>
              </w:rPr>
              <w:t>Surgery</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134AEF1" w14:textId="77777777" w:rsidR="00562164" w:rsidRPr="00545FD4" w:rsidRDefault="00562164" w:rsidP="000463C7">
            <w:pPr>
              <w:rPr>
                <w:sz w:val="20"/>
                <w:szCs w:val="20"/>
              </w:rPr>
            </w:pPr>
            <w:r w:rsidRPr="00545FD4">
              <w:rPr>
                <w:sz w:val="20"/>
                <w:szCs w:val="20"/>
              </w:rPr>
              <w:t>1003143</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D285807" w14:textId="77777777" w:rsidR="00562164" w:rsidRPr="00545FD4" w:rsidRDefault="00562164" w:rsidP="000463C7">
            <w:pPr>
              <w:rPr>
                <w:sz w:val="20"/>
                <w:szCs w:val="20"/>
              </w:rPr>
            </w:pPr>
            <w:r w:rsidRPr="00545FD4">
              <w:rPr>
                <w:sz w:val="20"/>
                <w:szCs w:val="20"/>
              </w:rPr>
              <w:t>141,514 (99.9%)</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C5BD69" w14:textId="77777777" w:rsidR="00562164" w:rsidRPr="00545FD4" w:rsidRDefault="00562164" w:rsidP="000463C7">
            <w:pPr>
              <w:rPr>
                <w:sz w:val="20"/>
                <w:szCs w:val="20"/>
              </w:rPr>
            </w:pPr>
            <w:r w:rsidRPr="00545FD4">
              <w:rPr>
                <w:sz w:val="20"/>
                <w:szCs w:val="20"/>
              </w:rPr>
              <w:t>261,613 (99.0%)</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000602D" w14:textId="77777777" w:rsidR="00562164" w:rsidRPr="00545FD4" w:rsidRDefault="00562164" w:rsidP="000463C7">
            <w:pPr>
              <w:rPr>
                <w:sz w:val="20"/>
                <w:szCs w:val="20"/>
              </w:rPr>
            </w:pPr>
            <w:r w:rsidRPr="00545FD4">
              <w:rPr>
                <w:sz w:val="20"/>
                <w:szCs w:val="20"/>
              </w:rPr>
              <w:t>+0.9</w:t>
            </w:r>
          </w:p>
        </w:tc>
      </w:tr>
      <w:tr w:rsidR="00562164" w:rsidRPr="0056639C" w14:paraId="29F65573"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2634A4D" w14:textId="77777777" w:rsidR="00562164" w:rsidRPr="00545FD4" w:rsidRDefault="00562164" w:rsidP="000463C7">
            <w:pPr>
              <w:rPr>
                <w:sz w:val="20"/>
                <w:szCs w:val="20"/>
              </w:rPr>
            </w:pPr>
            <w:r w:rsidRPr="00545FD4">
              <w:rPr>
                <w:sz w:val="20"/>
                <w:szCs w:val="20"/>
              </w:rPr>
              <w:t>Pathology and Laboratory Procedures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262059" w14:textId="77777777" w:rsidR="00562164" w:rsidRPr="00545FD4" w:rsidRDefault="00562164" w:rsidP="000463C7">
            <w:pPr>
              <w:rPr>
                <w:sz w:val="20"/>
                <w:szCs w:val="20"/>
              </w:rPr>
            </w:pPr>
            <w:r w:rsidRPr="00545FD4">
              <w:rPr>
                <w:sz w:val="20"/>
                <w:szCs w:val="20"/>
              </w:rPr>
              <w:t>1011136</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FB3CEE6" w14:textId="77777777" w:rsidR="00562164" w:rsidRPr="00545FD4" w:rsidRDefault="00562164" w:rsidP="000463C7">
            <w:pPr>
              <w:rPr>
                <w:sz w:val="20"/>
                <w:szCs w:val="20"/>
              </w:rPr>
            </w:pPr>
            <w:r w:rsidRPr="00545FD4">
              <w:rPr>
                <w:sz w:val="20"/>
                <w:szCs w:val="20"/>
              </w:rPr>
              <w:t>136,159 (96.1%)</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01532DB" w14:textId="77777777" w:rsidR="00562164" w:rsidRPr="00545FD4" w:rsidRDefault="00562164" w:rsidP="000463C7">
            <w:pPr>
              <w:rPr>
                <w:sz w:val="20"/>
                <w:szCs w:val="20"/>
              </w:rPr>
            </w:pPr>
            <w:r w:rsidRPr="00545FD4">
              <w:rPr>
                <w:sz w:val="20"/>
                <w:szCs w:val="20"/>
              </w:rPr>
              <w:t>226,919 (85.9%)</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84CEB94" w14:textId="77777777" w:rsidR="00562164" w:rsidRPr="00545FD4" w:rsidRDefault="00562164" w:rsidP="000463C7">
            <w:pPr>
              <w:rPr>
                <w:sz w:val="20"/>
                <w:szCs w:val="20"/>
              </w:rPr>
            </w:pPr>
            <w:r w:rsidRPr="00545FD4">
              <w:rPr>
                <w:sz w:val="20"/>
                <w:szCs w:val="20"/>
              </w:rPr>
              <w:t>+10.2</w:t>
            </w:r>
          </w:p>
        </w:tc>
      </w:tr>
      <w:tr w:rsidR="00562164" w:rsidRPr="0056639C" w14:paraId="31381A03"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38D798" w14:textId="77777777" w:rsidR="00562164" w:rsidRPr="00545FD4" w:rsidRDefault="00562164" w:rsidP="000463C7">
            <w:pPr>
              <w:rPr>
                <w:sz w:val="20"/>
                <w:szCs w:val="20"/>
              </w:rPr>
            </w:pPr>
            <w:r w:rsidRPr="00545FD4">
              <w:rPr>
                <w:sz w:val="20"/>
                <w:szCs w:val="20"/>
              </w:rPr>
              <w:t>Evaluation and Management</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1B3D29D" w14:textId="77777777" w:rsidR="00562164" w:rsidRPr="00545FD4" w:rsidRDefault="00562164" w:rsidP="000463C7">
            <w:pPr>
              <w:rPr>
                <w:sz w:val="20"/>
                <w:szCs w:val="20"/>
              </w:rPr>
            </w:pPr>
            <w:r w:rsidRPr="00545FD4">
              <w:rPr>
                <w:sz w:val="20"/>
                <w:szCs w:val="20"/>
              </w:rPr>
              <w:t>1013625</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AA39633" w14:textId="77777777" w:rsidR="00562164" w:rsidRPr="00545FD4" w:rsidRDefault="00562164" w:rsidP="000463C7">
            <w:pPr>
              <w:rPr>
                <w:sz w:val="20"/>
                <w:szCs w:val="20"/>
              </w:rPr>
            </w:pPr>
            <w:r w:rsidRPr="00545FD4">
              <w:rPr>
                <w:sz w:val="20"/>
                <w:szCs w:val="20"/>
              </w:rPr>
              <w:t>133,503 (94.3%)</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0C5C8BE" w14:textId="77777777" w:rsidR="00562164" w:rsidRPr="00545FD4" w:rsidRDefault="00562164" w:rsidP="000463C7">
            <w:pPr>
              <w:rPr>
                <w:sz w:val="20"/>
                <w:szCs w:val="20"/>
              </w:rPr>
            </w:pPr>
            <w:r w:rsidRPr="00545FD4">
              <w:rPr>
                <w:sz w:val="20"/>
                <w:szCs w:val="20"/>
              </w:rPr>
              <w:t>238,803 (90.4%)</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EB2ECEC" w14:textId="77777777" w:rsidR="00562164" w:rsidRPr="00545FD4" w:rsidRDefault="00562164" w:rsidP="000463C7">
            <w:pPr>
              <w:rPr>
                <w:sz w:val="20"/>
                <w:szCs w:val="20"/>
              </w:rPr>
            </w:pPr>
            <w:r w:rsidRPr="00545FD4">
              <w:rPr>
                <w:sz w:val="20"/>
                <w:szCs w:val="20"/>
              </w:rPr>
              <w:t>+3.8</w:t>
            </w:r>
          </w:p>
        </w:tc>
      </w:tr>
      <w:tr w:rsidR="00562164" w:rsidRPr="0056639C" w14:paraId="442550D6"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04ABDBB" w14:textId="77777777" w:rsidR="00562164" w:rsidRPr="00545FD4" w:rsidRDefault="00562164" w:rsidP="000463C7">
            <w:pPr>
              <w:rPr>
                <w:sz w:val="20"/>
                <w:szCs w:val="20"/>
              </w:rPr>
            </w:pPr>
            <w:r w:rsidRPr="00545FD4">
              <w:rPr>
                <w:sz w:val="20"/>
                <w:szCs w:val="20"/>
              </w:rPr>
              <w:t>Medicine Services and Procedures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E5D8433" w14:textId="77777777" w:rsidR="00562164" w:rsidRPr="00545FD4" w:rsidRDefault="00562164" w:rsidP="000463C7">
            <w:pPr>
              <w:rPr>
                <w:sz w:val="20"/>
                <w:szCs w:val="20"/>
              </w:rPr>
            </w:pPr>
            <w:r w:rsidRPr="00545FD4">
              <w:rPr>
                <w:sz w:val="20"/>
                <w:szCs w:val="20"/>
              </w:rPr>
              <w:t>1012569</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4A58D7E" w14:textId="77777777" w:rsidR="00562164" w:rsidRPr="00545FD4" w:rsidRDefault="00562164" w:rsidP="000463C7">
            <w:pPr>
              <w:rPr>
                <w:sz w:val="20"/>
                <w:szCs w:val="20"/>
              </w:rPr>
            </w:pPr>
            <w:r w:rsidRPr="00545FD4">
              <w:rPr>
                <w:sz w:val="20"/>
                <w:szCs w:val="20"/>
              </w:rPr>
              <w:t>130,072 (91.8%)</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E31E302" w14:textId="77777777" w:rsidR="00562164" w:rsidRPr="00545FD4" w:rsidRDefault="00562164" w:rsidP="000463C7">
            <w:pPr>
              <w:rPr>
                <w:sz w:val="20"/>
                <w:szCs w:val="20"/>
              </w:rPr>
            </w:pPr>
            <w:r w:rsidRPr="00545FD4">
              <w:rPr>
                <w:sz w:val="20"/>
                <w:szCs w:val="20"/>
              </w:rPr>
              <w:t>210,403 (79.7%)</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ADE7B18" w14:textId="77777777" w:rsidR="00562164" w:rsidRPr="00545FD4" w:rsidRDefault="00562164" w:rsidP="000463C7">
            <w:pPr>
              <w:rPr>
                <w:sz w:val="20"/>
                <w:szCs w:val="20"/>
              </w:rPr>
            </w:pPr>
            <w:r w:rsidRPr="00545FD4">
              <w:rPr>
                <w:sz w:val="20"/>
                <w:szCs w:val="20"/>
              </w:rPr>
              <w:t>+12.2</w:t>
            </w:r>
          </w:p>
        </w:tc>
      </w:tr>
      <w:tr w:rsidR="00562164" w:rsidRPr="0056639C" w14:paraId="422820BF"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69B0B04" w14:textId="77777777" w:rsidR="00562164" w:rsidRPr="00545FD4" w:rsidRDefault="00562164" w:rsidP="000463C7">
            <w:pPr>
              <w:rPr>
                <w:sz w:val="20"/>
                <w:szCs w:val="20"/>
              </w:rPr>
            </w:pPr>
            <w:r w:rsidRPr="00545FD4">
              <w:rPr>
                <w:sz w:val="20"/>
                <w:szCs w:val="20"/>
              </w:rPr>
              <w:t>Radiology Procedures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5027A28" w14:textId="77777777" w:rsidR="00562164" w:rsidRPr="00545FD4" w:rsidRDefault="00562164" w:rsidP="000463C7">
            <w:pPr>
              <w:rPr>
                <w:sz w:val="20"/>
                <w:szCs w:val="20"/>
              </w:rPr>
            </w:pPr>
            <w:r w:rsidRPr="00545FD4">
              <w:rPr>
                <w:sz w:val="20"/>
                <w:szCs w:val="20"/>
              </w:rPr>
              <w:t>1010251</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B154B57" w14:textId="77777777" w:rsidR="00562164" w:rsidRPr="00545FD4" w:rsidRDefault="00562164" w:rsidP="000463C7">
            <w:pPr>
              <w:rPr>
                <w:sz w:val="20"/>
                <w:szCs w:val="20"/>
              </w:rPr>
            </w:pPr>
            <w:r w:rsidRPr="00545FD4">
              <w:rPr>
                <w:sz w:val="20"/>
                <w:szCs w:val="20"/>
              </w:rPr>
              <w:t>129,315 (91.3%)</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F81747" w14:textId="77777777" w:rsidR="00562164" w:rsidRPr="00545FD4" w:rsidRDefault="00562164" w:rsidP="000463C7">
            <w:pPr>
              <w:rPr>
                <w:sz w:val="20"/>
                <w:szCs w:val="20"/>
              </w:rPr>
            </w:pPr>
            <w:r w:rsidRPr="00545FD4">
              <w:rPr>
                <w:sz w:val="20"/>
                <w:szCs w:val="20"/>
              </w:rPr>
              <w:t>217,950 (82.5%)</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AA1F45B" w14:textId="77777777" w:rsidR="00562164" w:rsidRPr="00545FD4" w:rsidRDefault="00562164" w:rsidP="000463C7">
            <w:pPr>
              <w:rPr>
                <w:sz w:val="20"/>
                <w:szCs w:val="20"/>
              </w:rPr>
            </w:pPr>
            <w:r w:rsidRPr="00545FD4">
              <w:rPr>
                <w:sz w:val="20"/>
                <w:szCs w:val="20"/>
              </w:rPr>
              <w:t>+8.8</w:t>
            </w:r>
          </w:p>
        </w:tc>
      </w:tr>
      <w:tr w:rsidR="00562164" w:rsidRPr="0056639C" w14:paraId="14AD5BAE" w14:textId="77777777" w:rsidTr="000463C7">
        <w:tc>
          <w:tcPr>
            <w:tcW w:w="9360" w:type="dxa"/>
            <w:gridSpan w:val="5"/>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87D297D" w14:textId="77777777" w:rsidR="00562164" w:rsidRPr="00545FD4" w:rsidRDefault="00562164" w:rsidP="000463C7">
            <w:pPr>
              <w:rPr>
                <w:sz w:val="20"/>
                <w:szCs w:val="20"/>
              </w:rPr>
            </w:pPr>
            <w:r w:rsidRPr="00545FD4">
              <w:rPr>
                <w:b/>
                <w:bCs/>
                <w:i/>
                <w:iCs/>
                <w:sz w:val="20"/>
                <w:szCs w:val="20"/>
              </w:rPr>
              <w:t>B. VA Medication Classes (VA National Drug File classification)</w:t>
            </w:r>
          </w:p>
        </w:tc>
      </w:tr>
      <w:tr w:rsidR="00562164" w:rsidRPr="0056639C" w14:paraId="7E45B979"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9A2EFB0" w14:textId="77777777" w:rsidR="00562164" w:rsidRPr="00545FD4" w:rsidRDefault="00562164" w:rsidP="000463C7">
            <w:pPr>
              <w:rPr>
                <w:sz w:val="20"/>
                <w:szCs w:val="20"/>
              </w:rPr>
            </w:pPr>
            <w:r w:rsidRPr="00545FD4">
              <w:rPr>
                <w:sz w:val="20"/>
                <w:szCs w:val="20"/>
              </w:rPr>
              <w:t>Central nervous system medications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AD205BB" w14:textId="77777777" w:rsidR="00562164" w:rsidRPr="00545FD4" w:rsidRDefault="00562164" w:rsidP="000463C7">
            <w:pPr>
              <w:rPr>
                <w:sz w:val="20"/>
                <w:szCs w:val="20"/>
              </w:rPr>
            </w:pPr>
            <w:r w:rsidRPr="00545FD4">
              <w:rPr>
                <w:sz w:val="20"/>
                <w:szCs w:val="20"/>
              </w:rPr>
              <w:t>CN000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632CC1F" w14:textId="77777777" w:rsidR="00562164" w:rsidRPr="00545FD4" w:rsidRDefault="00562164" w:rsidP="000463C7">
            <w:pPr>
              <w:rPr>
                <w:sz w:val="20"/>
                <w:szCs w:val="20"/>
              </w:rPr>
            </w:pPr>
            <w:r w:rsidRPr="00545FD4">
              <w:rPr>
                <w:sz w:val="20"/>
                <w:szCs w:val="20"/>
              </w:rPr>
              <w:t>141,283 (99.7%)</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5CD9E66" w14:textId="77777777" w:rsidR="00562164" w:rsidRPr="00545FD4" w:rsidRDefault="00562164" w:rsidP="000463C7">
            <w:pPr>
              <w:rPr>
                <w:sz w:val="20"/>
                <w:szCs w:val="20"/>
              </w:rPr>
            </w:pPr>
            <w:r w:rsidRPr="00545FD4">
              <w:rPr>
                <w:sz w:val="20"/>
                <w:szCs w:val="20"/>
              </w:rPr>
              <w:t>262,332 (99.3%)</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C42806D" w14:textId="77777777" w:rsidR="00562164" w:rsidRPr="00545FD4" w:rsidRDefault="00562164" w:rsidP="000463C7">
            <w:pPr>
              <w:rPr>
                <w:sz w:val="20"/>
                <w:szCs w:val="20"/>
              </w:rPr>
            </w:pPr>
            <w:r w:rsidRPr="00545FD4">
              <w:rPr>
                <w:sz w:val="20"/>
                <w:szCs w:val="20"/>
              </w:rPr>
              <w:t>+0.4</w:t>
            </w:r>
          </w:p>
        </w:tc>
      </w:tr>
      <w:tr w:rsidR="00562164" w:rsidRPr="0056639C" w14:paraId="7138BEE1"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3E95C07" w14:textId="77777777" w:rsidR="00562164" w:rsidRPr="00545FD4" w:rsidRDefault="00562164" w:rsidP="000463C7">
            <w:pPr>
              <w:rPr>
                <w:sz w:val="20"/>
                <w:szCs w:val="20"/>
              </w:rPr>
            </w:pPr>
            <w:r w:rsidRPr="00545FD4">
              <w:rPr>
                <w:sz w:val="20"/>
                <w:szCs w:val="20"/>
              </w:rPr>
              <w:t>Ophthalmic agents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A7C6929" w14:textId="77777777" w:rsidR="00562164" w:rsidRPr="00545FD4" w:rsidRDefault="00562164" w:rsidP="000463C7">
            <w:pPr>
              <w:rPr>
                <w:sz w:val="20"/>
                <w:szCs w:val="20"/>
              </w:rPr>
            </w:pPr>
            <w:r w:rsidRPr="00545FD4">
              <w:rPr>
                <w:sz w:val="20"/>
                <w:szCs w:val="20"/>
              </w:rPr>
              <w:t>OP000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1DB23F5" w14:textId="77777777" w:rsidR="00562164" w:rsidRPr="00545FD4" w:rsidRDefault="00562164" w:rsidP="000463C7">
            <w:pPr>
              <w:rPr>
                <w:sz w:val="20"/>
                <w:szCs w:val="20"/>
              </w:rPr>
            </w:pPr>
            <w:r w:rsidRPr="00545FD4">
              <w:rPr>
                <w:sz w:val="20"/>
                <w:szCs w:val="20"/>
              </w:rPr>
              <w:t>140,581 (99.2%)</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EFF5494" w14:textId="77777777" w:rsidR="00562164" w:rsidRPr="00545FD4" w:rsidRDefault="00562164" w:rsidP="000463C7">
            <w:pPr>
              <w:rPr>
                <w:sz w:val="20"/>
                <w:szCs w:val="20"/>
              </w:rPr>
            </w:pPr>
            <w:r w:rsidRPr="00545FD4">
              <w:rPr>
                <w:sz w:val="20"/>
                <w:szCs w:val="20"/>
              </w:rPr>
              <w:t>259,574 (98.3%)</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5CA529" w14:textId="77777777" w:rsidR="00562164" w:rsidRPr="00545FD4" w:rsidRDefault="00562164" w:rsidP="000463C7">
            <w:pPr>
              <w:rPr>
                <w:sz w:val="20"/>
                <w:szCs w:val="20"/>
              </w:rPr>
            </w:pPr>
            <w:r w:rsidRPr="00545FD4">
              <w:rPr>
                <w:sz w:val="20"/>
                <w:szCs w:val="20"/>
              </w:rPr>
              <w:t>+1.0</w:t>
            </w:r>
          </w:p>
        </w:tc>
      </w:tr>
      <w:tr w:rsidR="00562164" w:rsidRPr="0056639C" w14:paraId="60FDCCE6"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8FFA54A" w14:textId="77777777" w:rsidR="00562164" w:rsidRPr="00545FD4" w:rsidRDefault="00562164" w:rsidP="000463C7">
            <w:pPr>
              <w:rPr>
                <w:sz w:val="20"/>
                <w:szCs w:val="20"/>
              </w:rPr>
            </w:pPr>
            <w:r w:rsidRPr="00545FD4">
              <w:rPr>
                <w:sz w:val="20"/>
                <w:szCs w:val="20"/>
              </w:rPr>
              <w:t>Dermatological agents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274E2C5" w14:textId="77777777" w:rsidR="00562164" w:rsidRPr="00545FD4" w:rsidRDefault="00562164" w:rsidP="000463C7">
            <w:pPr>
              <w:rPr>
                <w:sz w:val="20"/>
                <w:szCs w:val="20"/>
              </w:rPr>
            </w:pPr>
            <w:r w:rsidRPr="00545FD4">
              <w:rPr>
                <w:sz w:val="20"/>
                <w:szCs w:val="20"/>
              </w:rPr>
              <w:t>DE000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92C8612" w14:textId="77777777" w:rsidR="00562164" w:rsidRPr="00545FD4" w:rsidRDefault="00562164" w:rsidP="000463C7">
            <w:pPr>
              <w:rPr>
                <w:sz w:val="20"/>
                <w:szCs w:val="20"/>
              </w:rPr>
            </w:pPr>
            <w:r w:rsidRPr="00545FD4">
              <w:rPr>
                <w:sz w:val="20"/>
                <w:szCs w:val="20"/>
              </w:rPr>
              <w:t>140,258 (99.0%)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C20269A" w14:textId="77777777" w:rsidR="00562164" w:rsidRPr="00545FD4" w:rsidRDefault="00562164" w:rsidP="000463C7">
            <w:pPr>
              <w:rPr>
                <w:sz w:val="20"/>
                <w:szCs w:val="20"/>
              </w:rPr>
            </w:pPr>
            <w:r w:rsidRPr="00545FD4">
              <w:rPr>
                <w:sz w:val="20"/>
                <w:szCs w:val="20"/>
              </w:rPr>
              <w:t>256,238 (97.0%)</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8758F0D" w14:textId="77777777" w:rsidR="00562164" w:rsidRPr="00545FD4" w:rsidRDefault="00562164" w:rsidP="000463C7">
            <w:pPr>
              <w:rPr>
                <w:sz w:val="20"/>
                <w:szCs w:val="20"/>
              </w:rPr>
            </w:pPr>
            <w:r w:rsidRPr="00545FD4">
              <w:rPr>
                <w:sz w:val="20"/>
                <w:szCs w:val="20"/>
              </w:rPr>
              <w:t>+2.0</w:t>
            </w:r>
          </w:p>
        </w:tc>
      </w:tr>
      <w:tr w:rsidR="00562164" w:rsidRPr="0056639C" w14:paraId="2A7D58CE"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3AA71F8" w14:textId="77777777" w:rsidR="00562164" w:rsidRPr="00545FD4" w:rsidRDefault="00562164" w:rsidP="000463C7">
            <w:pPr>
              <w:rPr>
                <w:sz w:val="20"/>
                <w:szCs w:val="20"/>
              </w:rPr>
            </w:pPr>
            <w:r w:rsidRPr="00545FD4">
              <w:rPr>
                <w:sz w:val="20"/>
                <w:szCs w:val="20"/>
              </w:rPr>
              <w:t>Nasal and throat agents, topical</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CE2E57A" w14:textId="77777777" w:rsidR="00562164" w:rsidRPr="00545FD4" w:rsidRDefault="00562164" w:rsidP="000463C7">
            <w:pPr>
              <w:rPr>
                <w:sz w:val="20"/>
                <w:szCs w:val="20"/>
              </w:rPr>
            </w:pPr>
            <w:r w:rsidRPr="00545FD4">
              <w:rPr>
                <w:sz w:val="20"/>
                <w:szCs w:val="20"/>
              </w:rPr>
              <w:t>NT000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78A3D81" w14:textId="77777777" w:rsidR="00562164" w:rsidRPr="00545FD4" w:rsidRDefault="00562164" w:rsidP="000463C7">
            <w:pPr>
              <w:rPr>
                <w:sz w:val="20"/>
                <w:szCs w:val="20"/>
              </w:rPr>
            </w:pPr>
            <w:r w:rsidRPr="00545FD4">
              <w:rPr>
                <w:sz w:val="20"/>
                <w:szCs w:val="20"/>
              </w:rPr>
              <w:t>139,488 (98.5%)</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D6662F1" w14:textId="77777777" w:rsidR="00562164" w:rsidRPr="00545FD4" w:rsidRDefault="00562164" w:rsidP="000463C7">
            <w:pPr>
              <w:rPr>
                <w:sz w:val="20"/>
                <w:szCs w:val="20"/>
              </w:rPr>
            </w:pPr>
            <w:r w:rsidRPr="00545FD4">
              <w:rPr>
                <w:sz w:val="20"/>
                <w:szCs w:val="20"/>
              </w:rPr>
              <w:t>252,870 (95.7%)</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BEE92AB" w14:textId="77777777" w:rsidR="00562164" w:rsidRPr="00545FD4" w:rsidRDefault="00562164" w:rsidP="000463C7">
            <w:pPr>
              <w:rPr>
                <w:sz w:val="20"/>
                <w:szCs w:val="20"/>
              </w:rPr>
            </w:pPr>
            <w:r w:rsidRPr="00545FD4">
              <w:rPr>
                <w:sz w:val="20"/>
                <w:szCs w:val="20"/>
              </w:rPr>
              <w:t>+2.7</w:t>
            </w:r>
          </w:p>
        </w:tc>
      </w:tr>
      <w:tr w:rsidR="00562164" w:rsidRPr="0056639C" w14:paraId="7723AE7C"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5C49088" w14:textId="77777777" w:rsidR="00562164" w:rsidRPr="00545FD4" w:rsidRDefault="00562164" w:rsidP="000463C7">
            <w:pPr>
              <w:rPr>
                <w:sz w:val="20"/>
                <w:szCs w:val="20"/>
              </w:rPr>
            </w:pPr>
            <w:r w:rsidRPr="00545FD4">
              <w:rPr>
                <w:sz w:val="20"/>
                <w:szCs w:val="20"/>
              </w:rPr>
              <w:t>Gastrointestinal medications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0E98601" w14:textId="77777777" w:rsidR="00562164" w:rsidRPr="00545FD4" w:rsidRDefault="00562164" w:rsidP="000463C7">
            <w:pPr>
              <w:rPr>
                <w:sz w:val="20"/>
                <w:szCs w:val="20"/>
              </w:rPr>
            </w:pPr>
            <w:r w:rsidRPr="00545FD4">
              <w:rPr>
                <w:sz w:val="20"/>
                <w:szCs w:val="20"/>
              </w:rPr>
              <w:t>GA000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9C68A9D" w14:textId="77777777" w:rsidR="00562164" w:rsidRPr="00545FD4" w:rsidRDefault="00562164" w:rsidP="000463C7">
            <w:pPr>
              <w:rPr>
                <w:sz w:val="20"/>
                <w:szCs w:val="20"/>
              </w:rPr>
            </w:pPr>
            <w:r w:rsidRPr="00545FD4">
              <w:rPr>
                <w:sz w:val="20"/>
                <w:szCs w:val="20"/>
              </w:rPr>
              <w:t>139,156 (98.2%)</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0C06FFE" w14:textId="77777777" w:rsidR="00562164" w:rsidRPr="00545FD4" w:rsidRDefault="00562164" w:rsidP="000463C7">
            <w:pPr>
              <w:rPr>
                <w:sz w:val="20"/>
                <w:szCs w:val="20"/>
              </w:rPr>
            </w:pPr>
            <w:r w:rsidRPr="00545FD4">
              <w:rPr>
                <w:sz w:val="20"/>
                <w:szCs w:val="20"/>
              </w:rPr>
              <w:t>252,175 (95.5%)</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1954924" w14:textId="77777777" w:rsidR="00562164" w:rsidRPr="00545FD4" w:rsidRDefault="00562164" w:rsidP="000463C7">
            <w:pPr>
              <w:rPr>
                <w:sz w:val="20"/>
                <w:szCs w:val="20"/>
              </w:rPr>
            </w:pPr>
            <w:r w:rsidRPr="00545FD4">
              <w:rPr>
                <w:sz w:val="20"/>
                <w:szCs w:val="20"/>
              </w:rPr>
              <w:t>+2.8</w:t>
            </w:r>
          </w:p>
        </w:tc>
      </w:tr>
      <w:tr w:rsidR="00562164" w:rsidRPr="0056639C" w14:paraId="69686E05"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EE9C508" w14:textId="77777777" w:rsidR="00562164" w:rsidRPr="00545FD4" w:rsidRDefault="00562164" w:rsidP="000463C7">
            <w:pPr>
              <w:rPr>
                <w:sz w:val="20"/>
                <w:szCs w:val="20"/>
              </w:rPr>
            </w:pPr>
            <w:r w:rsidRPr="00545FD4">
              <w:rPr>
                <w:sz w:val="20"/>
                <w:szCs w:val="20"/>
              </w:rPr>
              <w:t>Respiratory tract medications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93892A8" w14:textId="77777777" w:rsidR="00562164" w:rsidRPr="00545FD4" w:rsidRDefault="00562164" w:rsidP="000463C7">
            <w:pPr>
              <w:rPr>
                <w:sz w:val="20"/>
                <w:szCs w:val="20"/>
              </w:rPr>
            </w:pPr>
            <w:r w:rsidRPr="00545FD4">
              <w:rPr>
                <w:sz w:val="20"/>
                <w:szCs w:val="20"/>
              </w:rPr>
              <w:t>RE000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5F0D32" w14:textId="77777777" w:rsidR="00562164" w:rsidRPr="00545FD4" w:rsidRDefault="00562164" w:rsidP="000463C7">
            <w:pPr>
              <w:rPr>
                <w:sz w:val="20"/>
                <w:szCs w:val="20"/>
              </w:rPr>
            </w:pPr>
            <w:r w:rsidRPr="00545FD4">
              <w:rPr>
                <w:sz w:val="20"/>
                <w:szCs w:val="20"/>
              </w:rPr>
              <w:t>139,059 (98.2%)</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B8A3305" w14:textId="77777777" w:rsidR="00562164" w:rsidRPr="00545FD4" w:rsidRDefault="00562164" w:rsidP="000463C7">
            <w:pPr>
              <w:rPr>
                <w:sz w:val="20"/>
                <w:szCs w:val="20"/>
              </w:rPr>
            </w:pPr>
            <w:r w:rsidRPr="00545FD4">
              <w:rPr>
                <w:sz w:val="20"/>
                <w:szCs w:val="20"/>
              </w:rPr>
              <w:t>251,835 (95.3%)</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D42A52" w14:textId="77777777" w:rsidR="00562164" w:rsidRPr="00545FD4" w:rsidRDefault="00562164" w:rsidP="000463C7">
            <w:pPr>
              <w:rPr>
                <w:sz w:val="20"/>
                <w:szCs w:val="20"/>
              </w:rPr>
            </w:pPr>
            <w:r w:rsidRPr="00545FD4">
              <w:rPr>
                <w:sz w:val="20"/>
                <w:szCs w:val="20"/>
              </w:rPr>
              <w:t>+2.8</w:t>
            </w:r>
          </w:p>
        </w:tc>
      </w:tr>
      <w:tr w:rsidR="00562164" w:rsidRPr="0056639C" w14:paraId="3B50D645"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65194AC" w14:textId="77777777" w:rsidR="00562164" w:rsidRPr="00545FD4" w:rsidRDefault="00562164" w:rsidP="000463C7">
            <w:pPr>
              <w:rPr>
                <w:sz w:val="20"/>
                <w:szCs w:val="20"/>
              </w:rPr>
            </w:pPr>
            <w:r w:rsidRPr="00545FD4">
              <w:rPr>
                <w:sz w:val="20"/>
                <w:szCs w:val="20"/>
              </w:rPr>
              <w:t>Cardiovascular medications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C18909" w14:textId="77777777" w:rsidR="00562164" w:rsidRPr="00545FD4" w:rsidRDefault="00562164" w:rsidP="000463C7">
            <w:pPr>
              <w:rPr>
                <w:sz w:val="20"/>
                <w:szCs w:val="20"/>
              </w:rPr>
            </w:pPr>
            <w:r w:rsidRPr="00545FD4">
              <w:rPr>
                <w:sz w:val="20"/>
                <w:szCs w:val="20"/>
              </w:rPr>
              <w:t>CV000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5B31675" w14:textId="77777777" w:rsidR="00562164" w:rsidRPr="00545FD4" w:rsidRDefault="00562164" w:rsidP="000463C7">
            <w:pPr>
              <w:rPr>
                <w:sz w:val="20"/>
                <w:szCs w:val="20"/>
              </w:rPr>
            </w:pPr>
            <w:r w:rsidRPr="00545FD4">
              <w:rPr>
                <w:sz w:val="20"/>
                <w:szCs w:val="20"/>
              </w:rPr>
              <w:t>138,858 (98.0%)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2714778" w14:textId="77777777" w:rsidR="00562164" w:rsidRPr="00545FD4" w:rsidRDefault="00562164" w:rsidP="000463C7">
            <w:pPr>
              <w:rPr>
                <w:sz w:val="20"/>
                <w:szCs w:val="20"/>
              </w:rPr>
            </w:pPr>
            <w:r w:rsidRPr="00545FD4">
              <w:rPr>
                <w:sz w:val="20"/>
                <w:szCs w:val="20"/>
              </w:rPr>
              <w:t>234,182 (88.7%)</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CF8C94" w14:textId="77777777" w:rsidR="00562164" w:rsidRPr="00545FD4" w:rsidRDefault="00562164" w:rsidP="000463C7">
            <w:pPr>
              <w:rPr>
                <w:sz w:val="20"/>
                <w:szCs w:val="20"/>
              </w:rPr>
            </w:pPr>
            <w:r w:rsidRPr="00545FD4">
              <w:rPr>
                <w:sz w:val="20"/>
                <w:szCs w:val="20"/>
              </w:rPr>
              <w:t>+9.4</w:t>
            </w:r>
          </w:p>
        </w:tc>
      </w:tr>
      <w:tr w:rsidR="00562164" w:rsidRPr="0056639C" w14:paraId="5EC096E3"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738DA01" w14:textId="77777777" w:rsidR="00562164" w:rsidRPr="00545FD4" w:rsidRDefault="00562164" w:rsidP="000463C7">
            <w:pPr>
              <w:rPr>
                <w:sz w:val="20"/>
                <w:szCs w:val="20"/>
              </w:rPr>
            </w:pPr>
            <w:r w:rsidRPr="00545FD4">
              <w:rPr>
                <w:sz w:val="20"/>
                <w:szCs w:val="20"/>
              </w:rPr>
              <w:t>Therapeutic nutrients/minerals/electrolytes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B101009" w14:textId="77777777" w:rsidR="00562164" w:rsidRPr="00545FD4" w:rsidRDefault="00562164" w:rsidP="000463C7">
            <w:pPr>
              <w:rPr>
                <w:sz w:val="20"/>
                <w:szCs w:val="20"/>
              </w:rPr>
            </w:pPr>
            <w:r w:rsidRPr="00545FD4">
              <w:rPr>
                <w:sz w:val="20"/>
                <w:szCs w:val="20"/>
              </w:rPr>
              <w:t>TN000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2440189" w14:textId="77777777" w:rsidR="00562164" w:rsidRPr="00545FD4" w:rsidRDefault="00562164" w:rsidP="000463C7">
            <w:pPr>
              <w:rPr>
                <w:sz w:val="20"/>
                <w:szCs w:val="20"/>
              </w:rPr>
            </w:pPr>
            <w:r w:rsidRPr="00545FD4">
              <w:rPr>
                <w:sz w:val="20"/>
                <w:szCs w:val="20"/>
              </w:rPr>
              <w:t>138,300 (97.6%)</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5FBBD8F" w14:textId="77777777" w:rsidR="00562164" w:rsidRPr="00545FD4" w:rsidRDefault="00562164" w:rsidP="000463C7">
            <w:pPr>
              <w:rPr>
                <w:sz w:val="20"/>
                <w:szCs w:val="20"/>
              </w:rPr>
            </w:pPr>
            <w:r w:rsidRPr="00545FD4">
              <w:rPr>
                <w:sz w:val="20"/>
                <w:szCs w:val="20"/>
              </w:rPr>
              <w:t>247,454 (93.7%)</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5A3FA27" w14:textId="77777777" w:rsidR="00562164" w:rsidRPr="00545FD4" w:rsidRDefault="00562164" w:rsidP="000463C7">
            <w:pPr>
              <w:rPr>
                <w:sz w:val="20"/>
                <w:szCs w:val="20"/>
              </w:rPr>
            </w:pPr>
            <w:r w:rsidRPr="00545FD4">
              <w:rPr>
                <w:sz w:val="20"/>
                <w:szCs w:val="20"/>
              </w:rPr>
              <w:t>+4.0</w:t>
            </w:r>
          </w:p>
        </w:tc>
      </w:tr>
      <w:tr w:rsidR="00562164" w:rsidRPr="0056639C" w14:paraId="2D58B35E"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D6971D0" w14:textId="77777777" w:rsidR="00562164" w:rsidRPr="00545FD4" w:rsidRDefault="00562164" w:rsidP="000463C7">
            <w:pPr>
              <w:rPr>
                <w:sz w:val="20"/>
                <w:szCs w:val="20"/>
              </w:rPr>
            </w:pPr>
            <w:r w:rsidRPr="00545FD4">
              <w:rPr>
                <w:sz w:val="20"/>
                <w:szCs w:val="20"/>
              </w:rPr>
              <w:t>Hormones/synthetics/modifiers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13FE8E3" w14:textId="77777777" w:rsidR="00562164" w:rsidRPr="00545FD4" w:rsidRDefault="00562164" w:rsidP="000463C7">
            <w:pPr>
              <w:rPr>
                <w:sz w:val="20"/>
                <w:szCs w:val="20"/>
              </w:rPr>
            </w:pPr>
            <w:r w:rsidRPr="00545FD4">
              <w:rPr>
                <w:sz w:val="20"/>
                <w:szCs w:val="20"/>
              </w:rPr>
              <w:t>HS000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BD652BD" w14:textId="77777777" w:rsidR="00562164" w:rsidRPr="00545FD4" w:rsidRDefault="00562164" w:rsidP="000463C7">
            <w:pPr>
              <w:rPr>
                <w:sz w:val="20"/>
                <w:szCs w:val="20"/>
              </w:rPr>
            </w:pPr>
            <w:r w:rsidRPr="00545FD4">
              <w:rPr>
                <w:sz w:val="20"/>
                <w:szCs w:val="20"/>
              </w:rPr>
              <w:t>137,619 (97.2%)</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830E352" w14:textId="77777777" w:rsidR="00562164" w:rsidRPr="00545FD4" w:rsidRDefault="00562164" w:rsidP="000463C7">
            <w:pPr>
              <w:rPr>
                <w:sz w:val="20"/>
                <w:szCs w:val="20"/>
              </w:rPr>
            </w:pPr>
            <w:r w:rsidRPr="00545FD4">
              <w:rPr>
                <w:sz w:val="20"/>
                <w:szCs w:val="20"/>
              </w:rPr>
              <w:t>234,757 (88.9%)</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68D7F47" w14:textId="77777777" w:rsidR="00562164" w:rsidRPr="00545FD4" w:rsidRDefault="00562164" w:rsidP="000463C7">
            <w:pPr>
              <w:rPr>
                <w:sz w:val="20"/>
                <w:szCs w:val="20"/>
              </w:rPr>
            </w:pPr>
            <w:r w:rsidRPr="00545FD4">
              <w:rPr>
                <w:sz w:val="20"/>
                <w:szCs w:val="20"/>
              </w:rPr>
              <w:t>+8.3</w:t>
            </w:r>
          </w:p>
        </w:tc>
      </w:tr>
      <w:tr w:rsidR="00562164" w:rsidRPr="0056639C" w14:paraId="22D24197"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E5D844" w14:textId="77777777" w:rsidR="00562164" w:rsidRPr="00545FD4" w:rsidRDefault="00562164" w:rsidP="000463C7">
            <w:pPr>
              <w:rPr>
                <w:sz w:val="20"/>
                <w:szCs w:val="20"/>
              </w:rPr>
            </w:pPr>
            <w:r w:rsidRPr="00545FD4">
              <w:rPr>
                <w:sz w:val="20"/>
                <w:szCs w:val="20"/>
              </w:rPr>
              <w:t>Pharmaceutical aids/reagents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2A68E9C" w14:textId="77777777" w:rsidR="00562164" w:rsidRPr="00545FD4" w:rsidRDefault="00562164" w:rsidP="000463C7">
            <w:pPr>
              <w:rPr>
                <w:sz w:val="20"/>
                <w:szCs w:val="20"/>
              </w:rPr>
            </w:pPr>
            <w:r w:rsidRPr="00545FD4">
              <w:rPr>
                <w:sz w:val="20"/>
                <w:szCs w:val="20"/>
              </w:rPr>
              <w:t>PH000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AB9AB59" w14:textId="77777777" w:rsidR="00562164" w:rsidRPr="00545FD4" w:rsidRDefault="00562164" w:rsidP="000463C7">
            <w:pPr>
              <w:rPr>
                <w:sz w:val="20"/>
                <w:szCs w:val="20"/>
              </w:rPr>
            </w:pPr>
            <w:r w:rsidRPr="00545FD4">
              <w:rPr>
                <w:sz w:val="20"/>
                <w:szCs w:val="20"/>
              </w:rPr>
              <w:t>136,391 (96.3%)</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EF4368" w14:textId="77777777" w:rsidR="00562164" w:rsidRPr="00545FD4" w:rsidRDefault="00562164" w:rsidP="000463C7">
            <w:pPr>
              <w:rPr>
                <w:sz w:val="20"/>
                <w:szCs w:val="20"/>
              </w:rPr>
            </w:pPr>
            <w:r w:rsidRPr="00545FD4">
              <w:rPr>
                <w:sz w:val="20"/>
                <w:szCs w:val="20"/>
              </w:rPr>
              <w:t>242,595 (91.8%)</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8F9D0F5" w14:textId="77777777" w:rsidR="00562164" w:rsidRPr="00545FD4" w:rsidRDefault="00562164" w:rsidP="000463C7">
            <w:pPr>
              <w:rPr>
                <w:sz w:val="20"/>
                <w:szCs w:val="20"/>
              </w:rPr>
            </w:pPr>
            <w:r w:rsidRPr="00545FD4">
              <w:rPr>
                <w:sz w:val="20"/>
                <w:szCs w:val="20"/>
              </w:rPr>
              <w:t>+4.5</w:t>
            </w:r>
          </w:p>
        </w:tc>
      </w:tr>
      <w:tr w:rsidR="00562164" w:rsidRPr="0056639C" w14:paraId="17ABCC57"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72AF79F" w14:textId="77777777" w:rsidR="00562164" w:rsidRPr="00545FD4" w:rsidRDefault="00562164" w:rsidP="000463C7">
            <w:pPr>
              <w:rPr>
                <w:sz w:val="20"/>
                <w:szCs w:val="20"/>
              </w:rPr>
            </w:pPr>
            <w:r w:rsidRPr="00545FD4">
              <w:rPr>
                <w:sz w:val="20"/>
                <w:szCs w:val="20"/>
              </w:rPr>
              <w:t>Irrigation/dialysis solutions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66A90B0" w14:textId="77777777" w:rsidR="00562164" w:rsidRPr="00545FD4" w:rsidRDefault="00562164" w:rsidP="000463C7">
            <w:pPr>
              <w:rPr>
                <w:sz w:val="20"/>
                <w:szCs w:val="20"/>
              </w:rPr>
            </w:pPr>
            <w:r w:rsidRPr="00545FD4">
              <w:rPr>
                <w:sz w:val="20"/>
                <w:szCs w:val="20"/>
              </w:rPr>
              <w:t>IR000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13D886F" w14:textId="77777777" w:rsidR="00562164" w:rsidRPr="00545FD4" w:rsidRDefault="00562164" w:rsidP="000463C7">
            <w:pPr>
              <w:rPr>
                <w:sz w:val="20"/>
                <w:szCs w:val="20"/>
              </w:rPr>
            </w:pPr>
            <w:r w:rsidRPr="00545FD4">
              <w:rPr>
                <w:sz w:val="20"/>
                <w:szCs w:val="20"/>
              </w:rPr>
              <w:t>135,895 (95.9%)</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0A7AB4B" w14:textId="77777777" w:rsidR="00562164" w:rsidRPr="00545FD4" w:rsidRDefault="00562164" w:rsidP="000463C7">
            <w:pPr>
              <w:rPr>
                <w:sz w:val="20"/>
                <w:szCs w:val="20"/>
              </w:rPr>
            </w:pPr>
            <w:r w:rsidRPr="00545FD4">
              <w:rPr>
                <w:sz w:val="20"/>
                <w:szCs w:val="20"/>
              </w:rPr>
              <w:t>241,794 (91.5%)</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B633317" w14:textId="77777777" w:rsidR="00562164" w:rsidRPr="00545FD4" w:rsidRDefault="00562164" w:rsidP="000463C7">
            <w:pPr>
              <w:rPr>
                <w:sz w:val="20"/>
                <w:szCs w:val="20"/>
              </w:rPr>
            </w:pPr>
            <w:r w:rsidRPr="00545FD4">
              <w:rPr>
                <w:sz w:val="20"/>
                <w:szCs w:val="20"/>
              </w:rPr>
              <w:t>+4.4</w:t>
            </w:r>
          </w:p>
        </w:tc>
      </w:tr>
      <w:tr w:rsidR="00562164" w:rsidRPr="0056639C" w14:paraId="6165CEF0"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4CAF2AC" w14:textId="77777777" w:rsidR="00562164" w:rsidRPr="00545FD4" w:rsidRDefault="00562164" w:rsidP="000463C7">
            <w:pPr>
              <w:rPr>
                <w:sz w:val="20"/>
                <w:szCs w:val="20"/>
              </w:rPr>
            </w:pPr>
            <w:r w:rsidRPr="00545FD4">
              <w:rPr>
                <w:sz w:val="20"/>
                <w:szCs w:val="20"/>
              </w:rPr>
              <w:t>Musculoskeletal medications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CC7022" w14:textId="77777777" w:rsidR="00562164" w:rsidRPr="00545FD4" w:rsidRDefault="00562164" w:rsidP="000463C7">
            <w:pPr>
              <w:rPr>
                <w:sz w:val="20"/>
                <w:szCs w:val="20"/>
              </w:rPr>
            </w:pPr>
            <w:r w:rsidRPr="00545FD4">
              <w:rPr>
                <w:sz w:val="20"/>
                <w:szCs w:val="20"/>
              </w:rPr>
              <w:t>MS000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5F6C107" w14:textId="77777777" w:rsidR="00562164" w:rsidRPr="00545FD4" w:rsidRDefault="00562164" w:rsidP="000463C7">
            <w:pPr>
              <w:rPr>
                <w:sz w:val="20"/>
                <w:szCs w:val="20"/>
              </w:rPr>
            </w:pPr>
            <w:r w:rsidRPr="00545FD4">
              <w:rPr>
                <w:sz w:val="20"/>
                <w:szCs w:val="20"/>
              </w:rPr>
              <w:t>134,537 (95.0%)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657DE4A" w14:textId="77777777" w:rsidR="00562164" w:rsidRPr="00545FD4" w:rsidRDefault="00562164" w:rsidP="000463C7">
            <w:pPr>
              <w:rPr>
                <w:sz w:val="20"/>
                <w:szCs w:val="20"/>
              </w:rPr>
            </w:pPr>
            <w:r w:rsidRPr="00545FD4">
              <w:rPr>
                <w:sz w:val="20"/>
                <w:szCs w:val="20"/>
              </w:rPr>
              <w:t>248,297 (94.0%)</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3F7B84A" w14:textId="77777777" w:rsidR="00562164" w:rsidRPr="00545FD4" w:rsidRDefault="00562164" w:rsidP="000463C7">
            <w:pPr>
              <w:rPr>
                <w:sz w:val="20"/>
                <w:szCs w:val="20"/>
              </w:rPr>
            </w:pPr>
            <w:r w:rsidRPr="00545FD4">
              <w:rPr>
                <w:sz w:val="20"/>
                <w:szCs w:val="20"/>
              </w:rPr>
              <w:t>+1.0</w:t>
            </w:r>
          </w:p>
        </w:tc>
      </w:tr>
      <w:tr w:rsidR="00562164" w:rsidRPr="0056639C" w14:paraId="7DB13F21"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9C0C826" w14:textId="77777777" w:rsidR="00562164" w:rsidRPr="00545FD4" w:rsidRDefault="00562164" w:rsidP="000463C7">
            <w:pPr>
              <w:rPr>
                <w:sz w:val="20"/>
                <w:szCs w:val="20"/>
              </w:rPr>
            </w:pPr>
            <w:r w:rsidRPr="00545FD4">
              <w:rPr>
                <w:sz w:val="20"/>
                <w:szCs w:val="20"/>
              </w:rPr>
              <w:lastRenderedPageBreak/>
              <w:t>Genitourinary medications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CB100E" w14:textId="77777777" w:rsidR="00562164" w:rsidRPr="00545FD4" w:rsidRDefault="00562164" w:rsidP="000463C7">
            <w:pPr>
              <w:rPr>
                <w:sz w:val="20"/>
                <w:szCs w:val="20"/>
              </w:rPr>
            </w:pPr>
            <w:r w:rsidRPr="00545FD4">
              <w:rPr>
                <w:sz w:val="20"/>
                <w:szCs w:val="20"/>
              </w:rPr>
              <w:t>GU000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033B00A" w14:textId="77777777" w:rsidR="00562164" w:rsidRPr="00545FD4" w:rsidRDefault="00562164" w:rsidP="000463C7">
            <w:pPr>
              <w:rPr>
                <w:sz w:val="20"/>
                <w:szCs w:val="20"/>
              </w:rPr>
            </w:pPr>
            <w:r w:rsidRPr="00545FD4">
              <w:rPr>
                <w:sz w:val="20"/>
                <w:szCs w:val="20"/>
              </w:rPr>
              <w:t>133,327 (94.1%)</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9F5705D" w14:textId="77777777" w:rsidR="00562164" w:rsidRPr="00545FD4" w:rsidRDefault="00562164" w:rsidP="000463C7">
            <w:pPr>
              <w:rPr>
                <w:sz w:val="20"/>
                <w:szCs w:val="20"/>
              </w:rPr>
            </w:pPr>
            <w:r w:rsidRPr="00545FD4">
              <w:rPr>
                <w:sz w:val="20"/>
                <w:szCs w:val="20"/>
              </w:rPr>
              <w:t>227,420 (86.1%)</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7E45583" w14:textId="77777777" w:rsidR="00562164" w:rsidRPr="00545FD4" w:rsidRDefault="00562164" w:rsidP="000463C7">
            <w:pPr>
              <w:rPr>
                <w:sz w:val="20"/>
                <w:szCs w:val="20"/>
              </w:rPr>
            </w:pPr>
            <w:r w:rsidRPr="00545FD4">
              <w:rPr>
                <w:sz w:val="20"/>
                <w:szCs w:val="20"/>
              </w:rPr>
              <w:t>+8.0</w:t>
            </w:r>
          </w:p>
        </w:tc>
      </w:tr>
      <w:tr w:rsidR="00562164" w:rsidRPr="0056639C" w14:paraId="4453C9F7"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CFCC34" w14:textId="77777777" w:rsidR="00562164" w:rsidRPr="00545FD4" w:rsidRDefault="00562164" w:rsidP="000463C7">
            <w:pPr>
              <w:rPr>
                <w:sz w:val="20"/>
                <w:szCs w:val="20"/>
              </w:rPr>
            </w:pPr>
            <w:r w:rsidRPr="00545FD4">
              <w:rPr>
                <w:sz w:val="20"/>
                <w:szCs w:val="20"/>
              </w:rPr>
              <w:t>Antimicrobials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5D99A12" w14:textId="77777777" w:rsidR="00562164" w:rsidRPr="00545FD4" w:rsidRDefault="00562164" w:rsidP="000463C7">
            <w:pPr>
              <w:rPr>
                <w:sz w:val="20"/>
                <w:szCs w:val="20"/>
              </w:rPr>
            </w:pPr>
            <w:r w:rsidRPr="00545FD4">
              <w:rPr>
                <w:sz w:val="20"/>
                <w:szCs w:val="20"/>
              </w:rPr>
              <w:t>AM000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7F85A57" w14:textId="77777777" w:rsidR="00562164" w:rsidRPr="00545FD4" w:rsidRDefault="00562164" w:rsidP="000463C7">
            <w:pPr>
              <w:rPr>
                <w:sz w:val="20"/>
                <w:szCs w:val="20"/>
              </w:rPr>
            </w:pPr>
            <w:r w:rsidRPr="00545FD4">
              <w:rPr>
                <w:sz w:val="20"/>
                <w:szCs w:val="20"/>
              </w:rPr>
              <w:t>132,433 (93.5%)</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DAE7F1D" w14:textId="77777777" w:rsidR="00562164" w:rsidRPr="00545FD4" w:rsidRDefault="00562164" w:rsidP="000463C7">
            <w:pPr>
              <w:rPr>
                <w:sz w:val="20"/>
                <w:szCs w:val="20"/>
              </w:rPr>
            </w:pPr>
            <w:r w:rsidRPr="00545FD4">
              <w:rPr>
                <w:sz w:val="20"/>
                <w:szCs w:val="20"/>
              </w:rPr>
              <w:t>232,626 (88.1%)</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4F6EA0" w14:textId="77777777" w:rsidR="00562164" w:rsidRPr="00545FD4" w:rsidRDefault="00562164" w:rsidP="000463C7">
            <w:pPr>
              <w:rPr>
                <w:sz w:val="20"/>
                <w:szCs w:val="20"/>
              </w:rPr>
            </w:pPr>
            <w:r w:rsidRPr="00545FD4">
              <w:rPr>
                <w:sz w:val="20"/>
                <w:szCs w:val="20"/>
              </w:rPr>
              <w:t>+5.4</w:t>
            </w:r>
          </w:p>
        </w:tc>
      </w:tr>
      <w:tr w:rsidR="00562164" w:rsidRPr="0056639C" w14:paraId="2D6D715F"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D77DA67" w14:textId="77777777" w:rsidR="00562164" w:rsidRPr="00545FD4" w:rsidRDefault="00562164" w:rsidP="000463C7">
            <w:pPr>
              <w:rPr>
                <w:sz w:val="20"/>
                <w:szCs w:val="20"/>
              </w:rPr>
            </w:pPr>
            <w:r w:rsidRPr="00545FD4">
              <w:rPr>
                <w:sz w:val="20"/>
                <w:szCs w:val="20"/>
              </w:rPr>
              <w:t>Autonomic medications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A027ACE" w14:textId="77777777" w:rsidR="00562164" w:rsidRPr="00545FD4" w:rsidRDefault="00562164" w:rsidP="000463C7">
            <w:pPr>
              <w:rPr>
                <w:sz w:val="20"/>
                <w:szCs w:val="20"/>
              </w:rPr>
            </w:pPr>
            <w:r w:rsidRPr="00545FD4">
              <w:rPr>
                <w:sz w:val="20"/>
                <w:szCs w:val="20"/>
              </w:rPr>
              <w:t>AU000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C2E256D" w14:textId="77777777" w:rsidR="00562164" w:rsidRPr="00545FD4" w:rsidRDefault="00562164" w:rsidP="000463C7">
            <w:pPr>
              <w:rPr>
                <w:sz w:val="20"/>
                <w:szCs w:val="20"/>
              </w:rPr>
            </w:pPr>
            <w:r w:rsidRPr="00545FD4">
              <w:rPr>
                <w:sz w:val="20"/>
                <w:szCs w:val="20"/>
              </w:rPr>
              <w:t>120,631 (85.2%)</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15E925B" w14:textId="77777777" w:rsidR="00562164" w:rsidRPr="00545FD4" w:rsidRDefault="00562164" w:rsidP="000463C7">
            <w:pPr>
              <w:rPr>
                <w:sz w:val="20"/>
                <w:szCs w:val="20"/>
              </w:rPr>
            </w:pPr>
            <w:r w:rsidRPr="00545FD4">
              <w:rPr>
                <w:sz w:val="20"/>
                <w:szCs w:val="20"/>
              </w:rPr>
              <w:t>204,115 (77.3%)</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42152AD" w14:textId="77777777" w:rsidR="00562164" w:rsidRPr="00545FD4" w:rsidRDefault="00562164" w:rsidP="000463C7">
            <w:pPr>
              <w:rPr>
                <w:sz w:val="20"/>
                <w:szCs w:val="20"/>
              </w:rPr>
            </w:pPr>
            <w:r w:rsidRPr="00545FD4">
              <w:rPr>
                <w:sz w:val="20"/>
                <w:szCs w:val="20"/>
              </w:rPr>
              <w:t>+7.9</w:t>
            </w:r>
          </w:p>
        </w:tc>
      </w:tr>
      <w:tr w:rsidR="00562164" w:rsidRPr="0056639C" w14:paraId="3F9AAF1C"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AA3032B" w14:textId="77777777" w:rsidR="00562164" w:rsidRPr="00545FD4" w:rsidRDefault="00562164" w:rsidP="000463C7">
            <w:pPr>
              <w:rPr>
                <w:sz w:val="20"/>
                <w:szCs w:val="20"/>
              </w:rPr>
            </w:pPr>
            <w:r w:rsidRPr="00545FD4">
              <w:rPr>
                <w:sz w:val="20"/>
                <w:szCs w:val="20"/>
              </w:rPr>
              <w:t>Rectal, local</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ABD6CEA" w14:textId="77777777" w:rsidR="00562164" w:rsidRPr="00545FD4" w:rsidRDefault="00562164" w:rsidP="000463C7">
            <w:pPr>
              <w:rPr>
                <w:sz w:val="20"/>
                <w:szCs w:val="20"/>
              </w:rPr>
            </w:pPr>
            <w:r w:rsidRPr="00545FD4">
              <w:rPr>
                <w:sz w:val="20"/>
                <w:szCs w:val="20"/>
              </w:rPr>
              <w:t>RS000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008188A" w14:textId="77777777" w:rsidR="00562164" w:rsidRPr="00545FD4" w:rsidRDefault="00562164" w:rsidP="000463C7">
            <w:pPr>
              <w:rPr>
                <w:sz w:val="20"/>
                <w:szCs w:val="20"/>
              </w:rPr>
            </w:pPr>
            <w:r w:rsidRPr="00545FD4">
              <w:rPr>
                <w:sz w:val="20"/>
                <w:szCs w:val="20"/>
              </w:rPr>
              <w:t>110,039 (77.7%)</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1A21D35" w14:textId="77777777" w:rsidR="00562164" w:rsidRPr="00545FD4" w:rsidRDefault="00562164" w:rsidP="000463C7">
            <w:pPr>
              <w:rPr>
                <w:sz w:val="20"/>
                <w:szCs w:val="20"/>
              </w:rPr>
            </w:pPr>
            <w:r w:rsidRPr="00545FD4">
              <w:rPr>
                <w:sz w:val="20"/>
                <w:szCs w:val="20"/>
              </w:rPr>
              <w:t>162,734 (61.6%)</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474122" w14:textId="77777777" w:rsidR="00562164" w:rsidRPr="00545FD4" w:rsidRDefault="00562164" w:rsidP="000463C7">
            <w:pPr>
              <w:rPr>
                <w:sz w:val="20"/>
                <w:szCs w:val="20"/>
              </w:rPr>
            </w:pPr>
            <w:r w:rsidRPr="00545FD4">
              <w:rPr>
                <w:sz w:val="20"/>
                <w:szCs w:val="20"/>
              </w:rPr>
              <w:t>+16.1</w:t>
            </w:r>
          </w:p>
        </w:tc>
      </w:tr>
      <w:tr w:rsidR="00562164" w:rsidRPr="0056639C" w14:paraId="373F95D5"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C3CA562" w14:textId="77777777" w:rsidR="00562164" w:rsidRPr="00545FD4" w:rsidRDefault="00562164" w:rsidP="000463C7">
            <w:pPr>
              <w:rPr>
                <w:sz w:val="20"/>
                <w:szCs w:val="20"/>
              </w:rPr>
            </w:pPr>
            <w:r w:rsidRPr="00545FD4">
              <w:rPr>
                <w:sz w:val="20"/>
                <w:szCs w:val="20"/>
              </w:rPr>
              <w:t>Other medications (VA)</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DA15CC5" w14:textId="77777777" w:rsidR="00562164" w:rsidRPr="00545FD4" w:rsidRDefault="00562164" w:rsidP="000463C7">
            <w:pPr>
              <w:rPr>
                <w:sz w:val="20"/>
                <w:szCs w:val="20"/>
              </w:rPr>
            </w:pPr>
            <w:r w:rsidRPr="00545FD4">
              <w:rPr>
                <w:sz w:val="20"/>
                <w:szCs w:val="20"/>
              </w:rPr>
              <w:t>Other</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270C5F0" w14:textId="77777777" w:rsidR="00562164" w:rsidRPr="00545FD4" w:rsidRDefault="00562164" w:rsidP="000463C7">
            <w:pPr>
              <w:rPr>
                <w:sz w:val="20"/>
                <w:szCs w:val="20"/>
              </w:rPr>
            </w:pPr>
            <w:r w:rsidRPr="00545FD4">
              <w:rPr>
                <w:sz w:val="20"/>
                <w:szCs w:val="20"/>
              </w:rPr>
              <w:t>105,187 (74.3%)</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B664FE4" w14:textId="77777777" w:rsidR="00562164" w:rsidRPr="00545FD4" w:rsidRDefault="00562164" w:rsidP="000463C7">
            <w:pPr>
              <w:rPr>
                <w:sz w:val="20"/>
                <w:szCs w:val="20"/>
              </w:rPr>
            </w:pPr>
            <w:r w:rsidRPr="00545FD4">
              <w:rPr>
                <w:sz w:val="20"/>
                <w:szCs w:val="20"/>
              </w:rPr>
              <w:t>145,118 (54.9%)</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F13D782" w14:textId="77777777" w:rsidR="00562164" w:rsidRPr="00545FD4" w:rsidRDefault="00562164" w:rsidP="000463C7">
            <w:pPr>
              <w:rPr>
                <w:sz w:val="20"/>
                <w:szCs w:val="20"/>
              </w:rPr>
            </w:pPr>
            <w:r w:rsidRPr="00545FD4">
              <w:rPr>
                <w:sz w:val="20"/>
                <w:szCs w:val="20"/>
              </w:rPr>
              <w:t>+19.3</w:t>
            </w:r>
          </w:p>
        </w:tc>
      </w:tr>
      <w:tr w:rsidR="00562164" w:rsidRPr="0056639C" w14:paraId="7A285ABB"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D63CCBF" w14:textId="77777777" w:rsidR="00562164" w:rsidRPr="00545FD4" w:rsidRDefault="00562164" w:rsidP="000463C7">
            <w:pPr>
              <w:rPr>
                <w:sz w:val="20"/>
                <w:szCs w:val="20"/>
              </w:rPr>
            </w:pPr>
            <w:r w:rsidRPr="00545FD4">
              <w:rPr>
                <w:sz w:val="20"/>
                <w:szCs w:val="20"/>
              </w:rPr>
              <w:t>Blood products/modifiers/volume expanders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8B26FFD" w14:textId="77777777" w:rsidR="00562164" w:rsidRPr="00545FD4" w:rsidRDefault="00562164" w:rsidP="000463C7">
            <w:pPr>
              <w:rPr>
                <w:sz w:val="20"/>
                <w:szCs w:val="20"/>
              </w:rPr>
            </w:pPr>
            <w:r w:rsidRPr="00545FD4">
              <w:rPr>
                <w:sz w:val="20"/>
                <w:szCs w:val="20"/>
              </w:rPr>
              <w:t>BL000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07F0405" w14:textId="77777777" w:rsidR="00562164" w:rsidRPr="00545FD4" w:rsidRDefault="00562164" w:rsidP="000463C7">
            <w:pPr>
              <w:rPr>
                <w:sz w:val="20"/>
                <w:szCs w:val="20"/>
              </w:rPr>
            </w:pPr>
            <w:r w:rsidRPr="00545FD4">
              <w:rPr>
                <w:sz w:val="20"/>
                <w:szCs w:val="20"/>
              </w:rPr>
              <w:t>97,792 (69.0%)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3C9F5C0" w14:textId="77777777" w:rsidR="00562164" w:rsidRPr="00545FD4" w:rsidRDefault="00562164" w:rsidP="000463C7">
            <w:pPr>
              <w:rPr>
                <w:sz w:val="20"/>
                <w:szCs w:val="20"/>
              </w:rPr>
            </w:pPr>
            <w:r w:rsidRPr="00545FD4">
              <w:rPr>
                <w:sz w:val="20"/>
                <w:szCs w:val="20"/>
              </w:rPr>
              <w:t>122,536 (46.4%)</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5E5C0F6" w14:textId="77777777" w:rsidR="00562164" w:rsidRPr="00545FD4" w:rsidRDefault="00562164" w:rsidP="000463C7">
            <w:pPr>
              <w:rPr>
                <w:sz w:val="20"/>
                <w:szCs w:val="20"/>
              </w:rPr>
            </w:pPr>
            <w:r w:rsidRPr="00545FD4">
              <w:rPr>
                <w:sz w:val="20"/>
                <w:szCs w:val="20"/>
              </w:rPr>
              <w:t>+22.7</w:t>
            </w:r>
          </w:p>
        </w:tc>
      </w:tr>
      <w:tr w:rsidR="00562164" w:rsidRPr="0056639C" w14:paraId="75A9D1ED"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92DAF11" w14:textId="77777777" w:rsidR="00562164" w:rsidRPr="00545FD4" w:rsidRDefault="00562164" w:rsidP="000463C7">
            <w:pPr>
              <w:rPr>
                <w:sz w:val="20"/>
                <w:szCs w:val="20"/>
              </w:rPr>
            </w:pPr>
            <w:r w:rsidRPr="00545FD4">
              <w:rPr>
                <w:sz w:val="20"/>
                <w:szCs w:val="20"/>
              </w:rPr>
              <w:t>Antihistamines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A21808" w14:textId="77777777" w:rsidR="00562164" w:rsidRPr="00545FD4" w:rsidRDefault="00562164" w:rsidP="000463C7">
            <w:pPr>
              <w:rPr>
                <w:sz w:val="20"/>
                <w:szCs w:val="20"/>
              </w:rPr>
            </w:pPr>
            <w:r w:rsidRPr="00545FD4">
              <w:rPr>
                <w:sz w:val="20"/>
                <w:szCs w:val="20"/>
              </w:rPr>
              <w:t>AH000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D80EAA9" w14:textId="77777777" w:rsidR="00562164" w:rsidRPr="00545FD4" w:rsidRDefault="00562164" w:rsidP="000463C7">
            <w:pPr>
              <w:rPr>
                <w:sz w:val="20"/>
                <w:szCs w:val="20"/>
              </w:rPr>
            </w:pPr>
            <w:r w:rsidRPr="00545FD4">
              <w:rPr>
                <w:sz w:val="20"/>
                <w:szCs w:val="20"/>
              </w:rPr>
              <w:t>92,146 (65.1%)</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5B7239F" w14:textId="77777777" w:rsidR="00562164" w:rsidRPr="00545FD4" w:rsidRDefault="00562164" w:rsidP="000463C7">
            <w:pPr>
              <w:rPr>
                <w:sz w:val="20"/>
                <w:szCs w:val="20"/>
              </w:rPr>
            </w:pPr>
            <w:r w:rsidRPr="00545FD4">
              <w:rPr>
                <w:sz w:val="20"/>
                <w:szCs w:val="20"/>
              </w:rPr>
              <w:t>143,492 (54.3%)</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DDE5684" w14:textId="77777777" w:rsidR="00562164" w:rsidRPr="00545FD4" w:rsidRDefault="00562164" w:rsidP="000463C7">
            <w:pPr>
              <w:rPr>
                <w:sz w:val="20"/>
                <w:szCs w:val="20"/>
              </w:rPr>
            </w:pPr>
            <w:r w:rsidRPr="00545FD4">
              <w:rPr>
                <w:sz w:val="20"/>
                <w:szCs w:val="20"/>
              </w:rPr>
              <w:t>+10.7</w:t>
            </w:r>
          </w:p>
        </w:tc>
      </w:tr>
      <w:tr w:rsidR="00562164" w:rsidRPr="0056639C" w14:paraId="4C5AADBC"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EE77859" w14:textId="77777777" w:rsidR="00562164" w:rsidRPr="00545FD4" w:rsidRDefault="00562164" w:rsidP="000463C7">
            <w:pPr>
              <w:rPr>
                <w:sz w:val="20"/>
                <w:szCs w:val="20"/>
              </w:rPr>
            </w:pPr>
            <w:r w:rsidRPr="00545FD4">
              <w:rPr>
                <w:sz w:val="20"/>
                <w:szCs w:val="20"/>
              </w:rPr>
              <w:t>Antidotes, deterrents, and poison control</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1009C90" w14:textId="77777777" w:rsidR="00562164" w:rsidRPr="00545FD4" w:rsidRDefault="00562164" w:rsidP="000463C7">
            <w:pPr>
              <w:rPr>
                <w:sz w:val="20"/>
                <w:szCs w:val="20"/>
              </w:rPr>
            </w:pPr>
            <w:r w:rsidRPr="00545FD4">
              <w:rPr>
                <w:sz w:val="20"/>
                <w:szCs w:val="20"/>
              </w:rPr>
              <w:t>AD000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F831CEC" w14:textId="77777777" w:rsidR="00562164" w:rsidRPr="00545FD4" w:rsidRDefault="00562164" w:rsidP="000463C7">
            <w:pPr>
              <w:rPr>
                <w:sz w:val="20"/>
                <w:szCs w:val="20"/>
              </w:rPr>
            </w:pPr>
            <w:r w:rsidRPr="00545FD4">
              <w:rPr>
                <w:sz w:val="20"/>
                <w:szCs w:val="20"/>
              </w:rPr>
              <w:t>71,246 (50.3%)</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F9770F" w14:textId="77777777" w:rsidR="00562164" w:rsidRPr="00545FD4" w:rsidRDefault="00562164" w:rsidP="000463C7">
            <w:pPr>
              <w:rPr>
                <w:sz w:val="20"/>
                <w:szCs w:val="20"/>
              </w:rPr>
            </w:pPr>
            <w:r w:rsidRPr="00545FD4">
              <w:rPr>
                <w:sz w:val="20"/>
                <w:szCs w:val="20"/>
              </w:rPr>
              <w:t>123,004 (46.6%)</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4592E86" w14:textId="77777777" w:rsidR="00562164" w:rsidRPr="00545FD4" w:rsidRDefault="00562164" w:rsidP="000463C7">
            <w:pPr>
              <w:rPr>
                <w:sz w:val="20"/>
                <w:szCs w:val="20"/>
              </w:rPr>
            </w:pPr>
            <w:r w:rsidRPr="00545FD4">
              <w:rPr>
                <w:sz w:val="20"/>
                <w:szCs w:val="20"/>
              </w:rPr>
              <w:t>+3.7</w:t>
            </w:r>
          </w:p>
        </w:tc>
      </w:tr>
      <w:tr w:rsidR="00562164" w:rsidRPr="0056639C" w14:paraId="5E6A7C3B"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DC7E415" w14:textId="77777777" w:rsidR="00562164" w:rsidRPr="00545FD4" w:rsidRDefault="00562164" w:rsidP="000463C7">
            <w:pPr>
              <w:rPr>
                <w:sz w:val="20"/>
                <w:szCs w:val="20"/>
              </w:rPr>
            </w:pPr>
            <w:r w:rsidRPr="00545FD4">
              <w:rPr>
                <w:sz w:val="20"/>
                <w:szCs w:val="20"/>
              </w:rPr>
              <w:t>Dental and oral agents, topical</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85CADB" w14:textId="77777777" w:rsidR="00562164" w:rsidRPr="00545FD4" w:rsidRDefault="00562164" w:rsidP="000463C7">
            <w:pPr>
              <w:rPr>
                <w:sz w:val="20"/>
                <w:szCs w:val="20"/>
              </w:rPr>
            </w:pPr>
            <w:r w:rsidRPr="00545FD4">
              <w:rPr>
                <w:sz w:val="20"/>
                <w:szCs w:val="20"/>
              </w:rPr>
              <w:t>OR000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FC3E324" w14:textId="77777777" w:rsidR="00562164" w:rsidRPr="00545FD4" w:rsidRDefault="00562164" w:rsidP="000463C7">
            <w:pPr>
              <w:rPr>
                <w:sz w:val="20"/>
                <w:szCs w:val="20"/>
              </w:rPr>
            </w:pPr>
            <w:r w:rsidRPr="00545FD4">
              <w:rPr>
                <w:sz w:val="20"/>
                <w:szCs w:val="20"/>
              </w:rPr>
              <w:t>63,485 (44.8%)</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ED9CAA" w14:textId="77777777" w:rsidR="00562164" w:rsidRPr="00545FD4" w:rsidRDefault="00562164" w:rsidP="000463C7">
            <w:pPr>
              <w:rPr>
                <w:sz w:val="20"/>
                <w:szCs w:val="20"/>
              </w:rPr>
            </w:pPr>
            <w:r w:rsidRPr="00545FD4">
              <w:rPr>
                <w:sz w:val="20"/>
                <w:szCs w:val="20"/>
              </w:rPr>
              <w:t>78,540 (29.7%)</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EA0159F" w14:textId="77777777" w:rsidR="00562164" w:rsidRPr="00545FD4" w:rsidRDefault="00562164" w:rsidP="000463C7">
            <w:pPr>
              <w:rPr>
                <w:sz w:val="20"/>
                <w:szCs w:val="20"/>
              </w:rPr>
            </w:pPr>
            <w:r w:rsidRPr="00545FD4">
              <w:rPr>
                <w:sz w:val="20"/>
                <w:szCs w:val="20"/>
              </w:rPr>
              <w:t>+15.1</w:t>
            </w:r>
          </w:p>
        </w:tc>
      </w:tr>
      <w:tr w:rsidR="00562164" w:rsidRPr="0056639C" w14:paraId="0CB75D3E" w14:textId="77777777" w:rsidTr="00562164">
        <w:tc>
          <w:tcPr>
            <w:tcW w:w="339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2CCCDC" w14:textId="77777777" w:rsidR="00562164" w:rsidRPr="00545FD4" w:rsidRDefault="00562164" w:rsidP="000463C7">
            <w:pPr>
              <w:rPr>
                <w:sz w:val="20"/>
                <w:szCs w:val="20"/>
              </w:rPr>
            </w:pPr>
            <w:r w:rsidRPr="00545FD4">
              <w:rPr>
                <w:sz w:val="20"/>
                <w:szCs w:val="20"/>
              </w:rPr>
              <w:t>Immunological agents</w:t>
            </w:r>
          </w:p>
        </w:tc>
        <w:tc>
          <w:tcPr>
            <w:tcW w:w="101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FBBDD33" w14:textId="77777777" w:rsidR="00562164" w:rsidRPr="00545FD4" w:rsidRDefault="00562164" w:rsidP="000463C7">
            <w:pPr>
              <w:rPr>
                <w:sz w:val="20"/>
                <w:szCs w:val="20"/>
              </w:rPr>
            </w:pPr>
            <w:r w:rsidRPr="00545FD4">
              <w:rPr>
                <w:sz w:val="20"/>
                <w:szCs w:val="20"/>
              </w:rPr>
              <w:t>IM000</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21E018" w14:textId="77777777" w:rsidR="00562164" w:rsidRPr="00545FD4" w:rsidRDefault="00562164" w:rsidP="000463C7">
            <w:pPr>
              <w:rPr>
                <w:sz w:val="20"/>
                <w:szCs w:val="20"/>
              </w:rPr>
            </w:pPr>
            <w:r w:rsidRPr="00545FD4">
              <w:rPr>
                <w:sz w:val="20"/>
                <w:szCs w:val="20"/>
              </w:rPr>
              <w:t>61,532 (43.4%)</w:t>
            </w:r>
          </w:p>
        </w:tc>
        <w:tc>
          <w:tcPr>
            <w:tcW w:w="1993"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F9EC838" w14:textId="77777777" w:rsidR="00562164" w:rsidRPr="00545FD4" w:rsidRDefault="00562164" w:rsidP="000463C7">
            <w:pPr>
              <w:rPr>
                <w:sz w:val="20"/>
                <w:szCs w:val="20"/>
              </w:rPr>
            </w:pPr>
            <w:r w:rsidRPr="00545FD4">
              <w:rPr>
                <w:sz w:val="20"/>
                <w:szCs w:val="20"/>
              </w:rPr>
              <w:t>83,911 (31.8%)</w:t>
            </w:r>
          </w:p>
        </w:tc>
        <w:tc>
          <w:tcPr>
            <w:tcW w:w="95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973DB79" w14:textId="77777777" w:rsidR="00562164" w:rsidRPr="00545FD4" w:rsidRDefault="00562164" w:rsidP="000463C7">
            <w:pPr>
              <w:rPr>
                <w:sz w:val="20"/>
                <w:szCs w:val="20"/>
              </w:rPr>
            </w:pPr>
            <w:r w:rsidRPr="00545FD4">
              <w:rPr>
                <w:sz w:val="20"/>
                <w:szCs w:val="20"/>
              </w:rPr>
              <w:t>+11.7</w:t>
            </w:r>
          </w:p>
        </w:tc>
      </w:tr>
    </w:tbl>
    <w:p w14:paraId="651B220C" w14:textId="4965C84F" w:rsidR="00014797" w:rsidRPr="0056639C" w:rsidRDefault="00562164" w:rsidP="00562164">
      <w:pPr>
        <w:spacing w:line="360" w:lineRule="auto"/>
        <w:rPr>
          <w:bCs/>
          <w:iCs/>
          <w:sz w:val="20"/>
          <w:szCs w:val="20"/>
        </w:rPr>
      </w:pPr>
      <w:r w:rsidRPr="0056639C">
        <w:rPr>
          <w:bCs/>
          <w:iCs/>
          <w:sz w:val="20"/>
          <w:szCs w:val="20"/>
        </w:rPr>
        <w:t>*Δ (pp) denotes the difference in cohort proportions (Diabetes minus Non-Diabetic), in percentage points.</w:t>
      </w:r>
    </w:p>
    <w:sectPr w:rsidR="00014797" w:rsidRPr="0056639C" w:rsidSect="00E448D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58F8" w14:textId="77777777" w:rsidR="006447C3" w:rsidRDefault="006447C3" w:rsidP="00F7761B">
      <w:pPr>
        <w:spacing w:line="240" w:lineRule="auto"/>
      </w:pPr>
      <w:r>
        <w:separator/>
      </w:r>
    </w:p>
  </w:endnote>
  <w:endnote w:type="continuationSeparator" w:id="0">
    <w:p w14:paraId="5301074C" w14:textId="77777777" w:rsidR="006447C3" w:rsidRDefault="006447C3" w:rsidP="00F77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BEF0" w14:textId="77777777" w:rsidR="00F7761B" w:rsidRDefault="00F7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B36" w14:textId="77777777" w:rsidR="00F7761B" w:rsidRDefault="00F7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77CD" w14:textId="77777777" w:rsidR="00F7761B" w:rsidRDefault="00F7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DBEA" w14:textId="77777777" w:rsidR="006447C3" w:rsidRDefault="006447C3" w:rsidP="00F7761B">
      <w:pPr>
        <w:spacing w:line="240" w:lineRule="auto"/>
      </w:pPr>
      <w:r>
        <w:separator/>
      </w:r>
    </w:p>
  </w:footnote>
  <w:footnote w:type="continuationSeparator" w:id="0">
    <w:p w14:paraId="661CE1BF" w14:textId="77777777" w:rsidR="006447C3" w:rsidRDefault="006447C3" w:rsidP="00F77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DE51" w14:textId="77777777" w:rsidR="00F7761B" w:rsidRDefault="00F77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2BDE" w14:textId="77777777" w:rsidR="00F7761B" w:rsidRDefault="00F77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462F" w14:textId="77777777" w:rsidR="00F7761B" w:rsidRDefault="00F77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AB4"/>
    <w:multiLevelType w:val="multilevel"/>
    <w:tmpl w:val="AE14D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412D2C"/>
    <w:multiLevelType w:val="multilevel"/>
    <w:tmpl w:val="45E4B4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277106"/>
    <w:multiLevelType w:val="multilevel"/>
    <w:tmpl w:val="92B00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42562554">
    <w:abstractNumId w:val="0"/>
  </w:num>
  <w:num w:numId="2" w16cid:durableId="1453135511">
    <w:abstractNumId w:val="1"/>
  </w:num>
  <w:num w:numId="3" w16cid:durableId="67430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45"/>
    <w:rsid w:val="00014797"/>
    <w:rsid w:val="00014B04"/>
    <w:rsid w:val="00015EF0"/>
    <w:rsid w:val="00040DF8"/>
    <w:rsid w:val="00041821"/>
    <w:rsid w:val="000524E4"/>
    <w:rsid w:val="000668EA"/>
    <w:rsid w:val="00071B0C"/>
    <w:rsid w:val="000922FE"/>
    <w:rsid w:val="00093BD6"/>
    <w:rsid w:val="000A6500"/>
    <w:rsid w:val="000B14EA"/>
    <w:rsid w:val="000C6774"/>
    <w:rsid w:val="000D1194"/>
    <w:rsid w:val="000D22FD"/>
    <w:rsid w:val="000D2E78"/>
    <w:rsid w:val="000E572C"/>
    <w:rsid w:val="000E6003"/>
    <w:rsid w:val="000E7BFB"/>
    <w:rsid w:val="000F7AF6"/>
    <w:rsid w:val="001319C1"/>
    <w:rsid w:val="00133A80"/>
    <w:rsid w:val="00141832"/>
    <w:rsid w:val="00141B22"/>
    <w:rsid w:val="001B4F19"/>
    <w:rsid w:val="001D1724"/>
    <w:rsid w:val="001D7085"/>
    <w:rsid w:val="001E609D"/>
    <w:rsid w:val="001F36E4"/>
    <w:rsid w:val="002106D9"/>
    <w:rsid w:val="00211916"/>
    <w:rsid w:val="00227EEA"/>
    <w:rsid w:val="00262922"/>
    <w:rsid w:val="0027720A"/>
    <w:rsid w:val="00280832"/>
    <w:rsid w:val="00281B2D"/>
    <w:rsid w:val="00281FFB"/>
    <w:rsid w:val="00286603"/>
    <w:rsid w:val="0029029A"/>
    <w:rsid w:val="002A29C4"/>
    <w:rsid w:val="002A2DF2"/>
    <w:rsid w:val="00300415"/>
    <w:rsid w:val="00306B78"/>
    <w:rsid w:val="00322E83"/>
    <w:rsid w:val="00330945"/>
    <w:rsid w:val="00332B7A"/>
    <w:rsid w:val="0034245D"/>
    <w:rsid w:val="00362260"/>
    <w:rsid w:val="00387A35"/>
    <w:rsid w:val="00397766"/>
    <w:rsid w:val="003D5147"/>
    <w:rsid w:val="003D72FA"/>
    <w:rsid w:val="003F727E"/>
    <w:rsid w:val="00401C29"/>
    <w:rsid w:val="0043769F"/>
    <w:rsid w:val="004423C7"/>
    <w:rsid w:val="00453BB2"/>
    <w:rsid w:val="004544FA"/>
    <w:rsid w:val="00460A7B"/>
    <w:rsid w:val="00481606"/>
    <w:rsid w:val="004B75BB"/>
    <w:rsid w:val="004E2C81"/>
    <w:rsid w:val="004F0E46"/>
    <w:rsid w:val="004F2BCB"/>
    <w:rsid w:val="004F50A1"/>
    <w:rsid w:val="00504BEE"/>
    <w:rsid w:val="00516BC7"/>
    <w:rsid w:val="0052231A"/>
    <w:rsid w:val="0052672C"/>
    <w:rsid w:val="00526D7D"/>
    <w:rsid w:val="00534AF0"/>
    <w:rsid w:val="00544E4A"/>
    <w:rsid w:val="00545FD4"/>
    <w:rsid w:val="0055207B"/>
    <w:rsid w:val="00562164"/>
    <w:rsid w:val="00562CC3"/>
    <w:rsid w:val="00566212"/>
    <w:rsid w:val="0056639C"/>
    <w:rsid w:val="005718E6"/>
    <w:rsid w:val="005856F6"/>
    <w:rsid w:val="005908F3"/>
    <w:rsid w:val="00595238"/>
    <w:rsid w:val="005970C0"/>
    <w:rsid w:val="005A4F96"/>
    <w:rsid w:val="005A5AD3"/>
    <w:rsid w:val="005A6BCC"/>
    <w:rsid w:val="005B5A77"/>
    <w:rsid w:val="005C5844"/>
    <w:rsid w:val="005D21FC"/>
    <w:rsid w:val="005D5108"/>
    <w:rsid w:val="005E6097"/>
    <w:rsid w:val="005F5E3E"/>
    <w:rsid w:val="005F6CA0"/>
    <w:rsid w:val="005F7028"/>
    <w:rsid w:val="006447C3"/>
    <w:rsid w:val="00647314"/>
    <w:rsid w:val="006750E8"/>
    <w:rsid w:val="0068139E"/>
    <w:rsid w:val="006846BF"/>
    <w:rsid w:val="006856A9"/>
    <w:rsid w:val="006C181E"/>
    <w:rsid w:val="006F0852"/>
    <w:rsid w:val="006F7015"/>
    <w:rsid w:val="00704056"/>
    <w:rsid w:val="00710A21"/>
    <w:rsid w:val="0072642A"/>
    <w:rsid w:val="007405C9"/>
    <w:rsid w:val="00746C20"/>
    <w:rsid w:val="00776F8A"/>
    <w:rsid w:val="00782EEC"/>
    <w:rsid w:val="0079149C"/>
    <w:rsid w:val="00791B84"/>
    <w:rsid w:val="00796052"/>
    <w:rsid w:val="00797D0C"/>
    <w:rsid w:val="007A1711"/>
    <w:rsid w:val="007A6CCA"/>
    <w:rsid w:val="007E1CCE"/>
    <w:rsid w:val="007E76C2"/>
    <w:rsid w:val="007F6AB4"/>
    <w:rsid w:val="008005DA"/>
    <w:rsid w:val="00816342"/>
    <w:rsid w:val="00821629"/>
    <w:rsid w:val="00825FE4"/>
    <w:rsid w:val="00854523"/>
    <w:rsid w:val="00855656"/>
    <w:rsid w:val="008625CD"/>
    <w:rsid w:val="0087201D"/>
    <w:rsid w:val="008920A8"/>
    <w:rsid w:val="008B1662"/>
    <w:rsid w:val="008D6CB2"/>
    <w:rsid w:val="008F580C"/>
    <w:rsid w:val="0090012D"/>
    <w:rsid w:val="00900668"/>
    <w:rsid w:val="00945B5C"/>
    <w:rsid w:val="009503CE"/>
    <w:rsid w:val="00974271"/>
    <w:rsid w:val="00981850"/>
    <w:rsid w:val="0098692C"/>
    <w:rsid w:val="009A2019"/>
    <w:rsid w:val="009A4FE6"/>
    <w:rsid w:val="009B140C"/>
    <w:rsid w:val="009E55F3"/>
    <w:rsid w:val="009F0CFF"/>
    <w:rsid w:val="00A07745"/>
    <w:rsid w:val="00A21CF9"/>
    <w:rsid w:val="00A24DA7"/>
    <w:rsid w:val="00A453DA"/>
    <w:rsid w:val="00A77C7D"/>
    <w:rsid w:val="00AC1EC2"/>
    <w:rsid w:val="00AE3434"/>
    <w:rsid w:val="00B21128"/>
    <w:rsid w:val="00B53458"/>
    <w:rsid w:val="00B55DE7"/>
    <w:rsid w:val="00BD1AFE"/>
    <w:rsid w:val="00BF62C4"/>
    <w:rsid w:val="00C06E27"/>
    <w:rsid w:val="00C11677"/>
    <w:rsid w:val="00C1196B"/>
    <w:rsid w:val="00C2388C"/>
    <w:rsid w:val="00C358D4"/>
    <w:rsid w:val="00C452EA"/>
    <w:rsid w:val="00C464E3"/>
    <w:rsid w:val="00C51000"/>
    <w:rsid w:val="00C54D24"/>
    <w:rsid w:val="00C80D7D"/>
    <w:rsid w:val="00C81318"/>
    <w:rsid w:val="00C822DF"/>
    <w:rsid w:val="00C9179C"/>
    <w:rsid w:val="00CD7ABB"/>
    <w:rsid w:val="00CE1D8D"/>
    <w:rsid w:val="00D01FA3"/>
    <w:rsid w:val="00D221A9"/>
    <w:rsid w:val="00D237D9"/>
    <w:rsid w:val="00D30BAE"/>
    <w:rsid w:val="00D5403D"/>
    <w:rsid w:val="00D55690"/>
    <w:rsid w:val="00D57301"/>
    <w:rsid w:val="00D6731B"/>
    <w:rsid w:val="00D75C7A"/>
    <w:rsid w:val="00DA27EE"/>
    <w:rsid w:val="00DC5C49"/>
    <w:rsid w:val="00DD7381"/>
    <w:rsid w:val="00DF6257"/>
    <w:rsid w:val="00E20924"/>
    <w:rsid w:val="00E31560"/>
    <w:rsid w:val="00E35B09"/>
    <w:rsid w:val="00E44734"/>
    <w:rsid w:val="00E448D7"/>
    <w:rsid w:val="00E54A68"/>
    <w:rsid w:val="00E57306"/>
    <w:rsid w:val="00E57BF6"/>
    <w:rsid w:val="00E73942"/>
    <w:rsid w:val="00ED4899"/>
    <w:rsid w:val="00EE03AD"/>
    <w:rsid w:val="00EF45AC"/>
    <w:rsid w:val="00EF7017"/>
    <w:rsid w:val="00F2623F"/>
    <w:rsid w:val="00F30503"/>
    <w:rsid w:val="00F30DC7"/>
    <w:rsid w:val="00F3329F"/>
    <w:rsid w:val="00F34A0C"/>
    <w:rsid w:val="00F5425F"/>
    <w:rsid w:val="00F61343"/>
    <w:rsid w:val="00F62193"/>
    <w:rsid w:val="00F63C23"/>
    <w:rsid w:val="00F645B9"/>
    <w:rsid w:val="00F67E91"/>
    <w:rsid w:val="00F76544"/>
    <w:rsid w:val="00F7761B"/>
    <w:rsid w:val="00F777C3"/>
    <w:rsid w:val="00F913B4"/>
    <w:rsid w:val="00FA4D9C"/>
    <w:rsid w:val="00FA4F00"/>
    <w:rsid w:val="00FC2C5B"/>
    <w:rsid w:val="00FD2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51D1"/>
  <w15:docId w15:val="{016C435E-9B2C-5545-82E1-D4F2ED4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ED4899"/>
    <w:pPr>
      <w:spacing w:line="240" w:lineRule="auto"/>
    </w:pPr>
  </w:style>
  <w:style w:type="character" w:styleId="LineNumber">
    <w:name w:val="line number"/>
    <w:basedOn w:val="DefaultParagraphFont"/>
    <w:uiPriority w:val="99"/>
    <w:semiHidden/>
    <w:unhideWhenUsed/>
    <w:rsid w:val="00516BC7"/>
  </w:style>
  <w:style w:type="character" w:customStyle="1" w:styleId="normaltextrun">
    <w:name w:val="normaltextrun"/>
    <w:basedOn w:val="DefaultParagraphFont"/>
    <w:rsid w:val="00544E4A"/>
  </w:style>
  <w:style w:type="character" w:customStyle="1" w:styleId="eop">
    <w:name w:val="eop"/>
    <w:basedOn w:val="DefaultParagraphFont"/>
    <w:rsid w:val="00544E4A"/>
  </w:style>
  <w:style w:type="paragraph" w:styleId="ListParagraph">
    <w:name w:val="List Paragraph"/>
    <w:basedOn w:val="Normal"/>
    <w:uiPriority w:val="34"/>
    <w:qFormat/>
    <w:rsid w:val="00FA4F00"/>
    <w:pPr>
      <w:ind w:left="720"/>
      <w:contextualSpacing/>
    </w:pPr>
  </w:style>
  <w:style w:type="character" w:styleId="Emphasis">
    <w:name w:val="Emphasis"/>
    <w:basedOn w:val="DefaultParagraphFont"/>
    <w:uiPriority w:val="20"/>
    <w:qFormat/>
    <w:rsid w:val="00FA4F00"/>
    <w:rPr>
      <w:i/>
      <w:iCs/>
    </w:rPr>
  </w:style>
  <w:style w:type="paragraph" w:styleId="Header">
    <w:name w:val="header"/>
    <w:basedOn w:val="Normal"/>
    <w:link w:val="HeaderChar"/>
    <w:uiPriority w:val="99"/>
    <w:unhideWhenUsed/>
    <w:rsid w:val="00F7761B"/>
    <w:pPr>
      <w:tabs>
        <w:tab w:val="center" w:pos="4680"/>
        <w:tab w:val="right" w:pos="9360"/>
      </w:tabs>
      <w:spacing w:line="240" w:lineRule="auto"/>
    </w:pPr>
  </w:style>
  <w:style w:type="character" w:customStyle="1" w:styleId="HeaderChar">
    <w:name w:val="Header Char"/>
    <w:basedOn w:val="DefaultParagraphFont"/>
    <w:link w:val="Header"/>
    <w:uiPriority w:val="99"/>
    <w:rsid w:val="00F7761B"/>
  </w:style>
  <w:style w:type="paragraph" w:styleId="Footer">
    <w:name w:val="footer"/>
    <w:basedOn w:val="Normal"/>
    <w:link w:val="FooterChar"/>
    <w:uiPriority w:val="99"/>
    <w:unhideWhenUsed/>
    <w:rsid w:val="00F7761B"/>
    <w:pPr>
      <w:tabs>
        <w:tab w:val="center" w:pos="4680"/>
        <w:tab w:val="right" w:pos="9360"/>
      </w:tabs>
      <w:spacing w:line="240" w:lineRule="auto"/>
    </w:pPr>
  </w:style>
  <w:style w:type="character" w:customStyle="1" w:styleId="FooterChar">
    <w:name w:val="Footer Char"/>
    <w:basedOn w:val="DefaultParagraphFont"/>
    <w:link w:val="Footer"/>
    <w:uiPriority w:val="99"/>
    <w:rsid w:val="00F7761B"/>
  </w:style>
  <w:style w:type="character" w:styleId="CommentReference">
    <w:name w:val="annotation reference"/>
    <w:basedOn w:val="DefaultParagraphFont"/>
    <w:uiPriority w:val="99"/>
    <w:semiHidden/>
    <w:unhideWhenUsed/>
    <w:rsid w:val="00E35B09"/>
    <w:rPr>
      <w:sz w:val="16"/>
      <w:szCs w:val="16"/>
    </w:rPr>
  </w:style>
  <w:style w:type="paragraph" w:styleId="CommentText">
    <w:name w:val="annotation text"/>
    <w:basedOn w:val="Normal"/>
    <w:link w:val="CommentTextChar"/>
    <w:uiPriority w:val="99"/>
    <w:semiHidden/>
    <w:unhideWhenUsed/>
    <w:rsid w:val="00E35B09"/>
    <w:pPr>
      <w:spacing w:line="240" w:lineRule="auto"/>
    </w:pPr>
    <w:rPr>
      <w:sz w:val="20"/>
      <w:szCs w:val="20"/>
    </w:rPr>
  </w:style>
  <w:style w:type="character" w:customStyle="1" w:styleId="CommentTextChar">
    <w:name w:val="Comment Text Char"/>
    <w:basedOn w:val="DefaultParagraphFont"/>
    <w:link w:val="CommentText"/>
    <w:uiPriority w:val="99"/>
    <w:semiHidden/>
    <w:rsid w:val="00E35B09"/>
    <w:rPr>
      <w:sz w:val="20"/>
      <w:szCs w:val="20"/>
    </w:rPr>
  </w:style>
  <w:style w:type="paragraph" w:styleId="CommentSubject">
    <w:name w:val="annotation subject"/>
    <w:basedOn w:val="CommentText"/>
    <w:next w:val="CommentText"/>
    <w:link w:val="CommentSubjectChar"/>
    <w:uiPriority w:val="99"/>
    <w:semiHidden/>
    <w:unhideWhenUsed/>
    <w:rsid w:val="00E35B09"/>
    <w:rPr>
      <w:b/>
      <w:bCs/>
    </w:rPr>
  </w:style>
  <w:style w:type="character" w:customStyle="1" w:styleId="CommentSubjectChar">
    <w:name w:val="Comment Subject Char"/>
    <w:basedOn w:val="CommentTextChar"/>
    <w:link w:val="CommentSubject"/>
    <w:uiPriority w:val="99"/>
    <w:semiHidden/>
    <w:rsid w:val="00E35B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4-1515-9476" TargetMode="External"/><Relationship Id="rId13" Type="http://schemas.openxmlformats.org/officeDocument/2006/relationships/hyperlink" Target="https://www.linkedin.com/in/sophie-nb-nguy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inkedin.com/in/zhenghao-wa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n494@drexel.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orcid.org/0000-0001-8471-520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3-8666-1167"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BAB9-4713-704B-852F-D8722BC0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27</Pages>
  <Words>8298</Words>
  <Characters>47304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Nguyen,Ngoc Bich</cp:lastModifiedBy>
  <cp:revision>147</cp:revision>
  <dcterms:created xsi:type="dcterms:W3CDTF">2025-07-19T20:47:00Z</dcterms:created>
  <dcterms:modified xsi:type="dcterms:W3CDTF">2026-05-23T22:21:00Z</dcterms:modified>
</cp:coreProperties>
</file>